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91" w:rsidRPr="00700891" w:rsidRDefault="00700891" w:rsidP="00700891">
      <w:pPr>
        <w:shd w:val="clear" w:color="auto" w:fill="FFFFFF"/>
        <w:spacing w:after="0" w:line="240" w:lineRule="auto"/>
        <w:rPr>
          <w:rFonts w:ascii="Roboto" w:eastAsia="Times New Roman" w:hAnsi="Roboto" w:cs="Times New Roman"/>
          <w:b/>
          <w:sz w:val="21"/>
          <w:szCs w:val="21"/>
          <w:lang w:eastAsia="es-ES"/>
        </w:rPr>
      </w:pPr>
      <w:bookmarkStart w:id="0" w:name="_GoBack"/>
      <w:r w:rsidRPr="00700891">
        <w:rPr>
          <w:rFonts w:ascii="Roboto" w:eastAsia="Times New Roman" w:hAnsi="Roboto" w:cs="Times New Roman"/>
          <w:b/>
          <w:sz w:val="21"/>
          <w:szCs w:val="21"/>
          <w:lang w:eastAsia="es-ES"/>
        </w:rPr>
        <w:t> </w:t>
      </w:r>
      <w:hyperlink r:id="rId6" w:history="1">
        <w:r w:rsidRPr="00700891">
          <w:rPr>
            <w:rFonts w:ascii="Roboto" w:eastAsia="Times New Roman" w:hAnsi="Roboto" w:cs="Times New Roman"/>
            <w:b/>
            <w:sz w:val="21"/>
            <w:szCs w:val="21"/>
            <w:lang w:eastAsia="es-ES"/>
          </w:rPr>
          <w:t>Introducción del número</w:t>
        </w:r>
      </w:hyperlink>
      <w:r w:rsidRPr="00700891">
        <w:rPr>
          <w:rFonts w:ascii="Roboto" w:eastAsia="Times New Roman" w:hAnsi="Roboto" w:cs="Times New Roman"/>
          <w:b/>
          <w:sz w:val="21"/>
          <w:szCs w:val="21"/>
          <w:lang w:eastAsia="es-ES"/>
        </w:rPr>
        <w:t xml:space="preserve"> 24 </w:t>
      </w:r>
      <w:bookmarkEnd w:id="0"/>
      <w:r w:rsidRPr="00700891">
        <w:rPr>
          <w:rFonts w:ascii="Roboto" w:eastAsia="Times New Roman" w:hAnsi="Roboto" w:cs="Times New Roman"/>
          <w:b/>
          <w:sz w:val="21"/>
          <w:szCs w:val="21"/>
          <w:lang w:eastAsia="es-ES"/>
        </w:rPr>
        <w:t>de la revista</w:t>
      </w:r>
    </w:p>
    <w:p w:rsidR="00700891" w:rsidRPr="00700891" w:rsidRDefault="00700891" w:rsidP="00700891">
      <w:pPr>
        <w:shd w:val="clear" w:color="auto" w:fill="FFFFFF"/>
        <w:spacing w:after="0" w:line="240" w:lineRule="auto"/>
        <w:rPr>
          <w:rFonts w:ascii="Roboto" w:eastAsia="Times New Roman" w:hAnsi="Roboto" w:cs="Times New Roman"/>
          <w:color w:val="666666"/>
          <w:sz w:val="21"/>
          <w:szCs w:val="21"/>
          <w:lang w:eastAsia="es-ES"/>
        </w:rPr>
      </w:pPr>
      <w:r w:rsidRPr="00700891">
        <w:rPr>
          <w:rFonts w:ascii="Roboto" w:eastAsia="Times New Roman" w:hAnsi="Roboto" w:cs="Times New Roman"/>
          <w:color w:val="666666"/>
          <w:sz w:val="21"/>
          <w:szCs w:val="21"/>
          <w:lang w:eastAsia="es-ES"/>
        </w:rPr>
        <w:t> </w:t>
      </w:r>
    </w:p>
    <w:p w:rsidR="00700891" w:rsidRPr="00700891" w:rsidRDefault="00700891" w:rsidP="00700891">
      <w:pPr>
        <w:shd w:val="clear" w:color="auto" w:fill="FFFFFF"/>
        <w:spacing w:after="0" w:line="240" w:lineRule="auto"/>
        <w:rPr>
          <w:rFonts w:ascii="Roboto" w:eastAsia="Times New Roman" w:hAnsi="Roboto" w:cs="Times New Roman"/>
          <w:color w:val="666666"/>
          <w:sz w:val="21"/>
          <w:szCs w:val="21"/>
          <w:lang w:eastAsia="es-ES"/>
        </w:rPr>
      </w:pPr>
      <w:r w:rsidRPr="00700891">
        <w:rPr>
          <w:rFonts w:ascii="Roboto" w:eastAsia="Times New Roman" w:hAnsi="Roboto" w:cs="Times New Roman"/>
          <w:color w:val="666666"/>
          <w:sz w:val="21"/>
          <w:szCs w:val="21"/>
          <w:lang w:eastAsia="es-ES"/>
        </w:rPr>
        <w:t> </w:t>
      </w:r>
    </w:p>
    <w:p w:rsidR="00700891" w:rsidRPr="00700891" w:rsidRDefault="00700891" w:rsidP="00700891">
      <w:pPr>
        <w:shd w:val="clear" w:color="auto" w:fill="FFFFFF"/>
        <w:spacing w:line="240" w:lineRule="auto"/>
        <w:jc w:val="both"/>
        <w:rPr>
          <w:rFonts w:ascii="Roboto" w:eastAsia="Times New Roman" w:hAnsi="Roboto" w:cs="Times New Roman"/>
          <w:color w:val="666666"/>
          <w:sz w:val="21"/>
          <w:szCs w:val="21"/>
          <w:lang w:eastAsia="es-ES"/>
        </w:rPr>
      </w:pPr>
      <w:r w:rsidRPr="00700891">
        <w:rPr>
          <w:rFonts w:ascii="Calibri" w:eastAsia="Times New Roman" w:hAnsi="Calibri" w:cs="Calibri"/>
          <w:color w:val="666666"/>
          <w:sz w:val="24"/>
          <w:szCs w:val="24"/>
          <w:lang w:eastAsia="es-ES"/>
        </w:rPr>
        <w:t>Como, a menudo, nos sucede, cada número de esta revista es una sorpresa. Solo cuando hemos leído todas las propuestas y seleccionado, de la mano de nuestros árbitros, las que encajan en la línea editorial, tenemos la impresión de que estamos al día en los temas que realmente preocupan a los estudiosos del Derecho de la Información o de otras disciplinas conexas con el Derecho de la Información o que de alguna manera aportan conocimientos o reciben conocimientos de nuestra Ciencia.</w:t>
      </w:r>
    </w:p>
    <w:p w:rsidR="00700891" w:rsidRPr="00700891" w:rsidRDefault="00700891" w:rsidP="00700891">
      <w:pPr>
        <w:shd w:val="clear" w:color="auto" w:fill="FFFFFF"/>
        <w:spacing w:line="240" w:lineRule="auto"/>
        <w:jc w:val="both"/>
        <w:rPr>
          <w:rFonts w:ascii="Roboto" w:eastAsia="Times New Roman" w:hAnsi="Roboto" w:cs="Times New Roman"/>
          <w:color w:val="666666"/>
          <w:sz w:val="21"/>
          <w:szCs w:val="21"/>
          <w:lang w:eastAsia="es-ES"/>
        </w:rPr>
      </w:pPr>
      <w:r w:rsidRPr="00700891">
        <w:rPr>
          <w:rFonts w:ascii="Calibri" w:eastAsia="Times New Roman" w:hAnsi="Calibri" w:cs="Calibri"/>
          <w:color w:val="666666"/>
          <w:sz w:val="24"/>
          <w:szCs w:val="24"/>
          <w:lang w:eastAsia="es-ES"/>
        </w:rPr>
        <w:t>Este número, por ejemplo, es una muestra palpable de que las preocupaciones sociales, de la sociedad española, son las inquietudes de los pensadores, intelectuales, estudiosos o ensayistas; las cuestiones medioambientales, de nuevo, sobre la mesa, en relación con la falta de información o con la incorrecta gestión del deber de informar por parte de las autoridades locales o regionales. Este es el tema sobre el que opina el equipo que encabeza </w:t>
      </w:r>
      <w:r w:rsidRPr="00700891">
        <w:rPr>
          <w:rFonts w:ascii="Calibri" w:eastAsia="Times New Roman" w:hAnsi="Calibri" w:cs="Calibri"/>
          <w:b/>
          <w:bCs/>
          <w:color w:val="666666"/>
          <w:sz w:val="24"/>
          <w:szCs w:val="24"/>
          <w:lang w:eastAsia="es-ES"/>
        </w:rPr>
        <w:t>Carmina Elvira</w:t>
      </w:r>
      <w:r w:rsidRPr="00700891">
        <w:rPr>
          <w:rFonts w:ascii="Calibri" w:eastAsia="Times New Roman" w:hAnsi="Calibri" w:cs="Calibri"/>
          <w:color w:val="666666"/>
          <w:sz w:val="24"/>
          <w:szCs w:val="24"/>
          <w:lang w:eastAsia="es-ES"/>
        </w:rPr>
        <w:t>, a quien acompañan </w:t>
      </w:r>
      <w:r w:rsidRPr="00700891">
        <w:rPr>
          <w:rFonts w:ascii="Calibri" w:eastAsia="Times New Roman" w:hAnsi="Calibri" w:cs="Calibri"/>
          <w:b/>
          <w:bCs/>
          <w:color w:val="666666"/>
          <w:sz w:val="24"/>
          <w:szCs w:val="24"/>
          <w:lang w:eastAsia="es-ES"/>
        </w:rPr>
        <w:t>Luis Moral</w:t>
      </w:r>
      <w:r w:rsidRPr="00700891">
        <w:rPr>
          <w:rFonts w:ascii="Calibri" w:eastAsia="Times New Roman" w:hAnsi="Calibri" w:cs="Calibri"/>
          <w:color w:val="666666"/>
          <w:sz w:val="24"/>
          <w:szCs w:val="24"/>
          <w:lang w:eastAsia="es-ES"/>
        </w:rPr>
        <w:t> y </w:t>
      </w:r>
      <w:r w:rsidRPr="00700891">
        <w:rPr>
          <w:rFonts w:ascii="Calibri" w:eastAsia="Times New Roman" w:hAnsi="Calibri" w:cs="Calibri"/>
          <w:b/>
          <w:bCs/>
          <w:color w:val="666666"/>
          <w:sz w:val="24"/>
          <w:szCs w:val="24"/>
          <w:lang w:eastAsia="es-ES"/>
        </w:rPr>
        <w:t>Salvador Elizalde</w:t>
      </w:r>
      <w:r w:rsidRPr="00700891">
        <w:rPr>
          <w:rFonts w:ascii="Calibri" w:eastAsia="Times New Roman" w:hAnsi="Calibri" w:cs="Calibri"/>
          <w:color w:val="666666"/>
          <w:sz w:val="24"/>
          <w:szCs w:val="24"/>
          <w:lang w:eastAsia="es-ES"/>
        </w:rPr>
        <w:t>.  La regulación legal de la violencia de género y el rol de los medios de comunicación en la difusión del conocimiento del delito es otro asunto de plena actualidad que, aquí, aborda </w:t>
      </w:r>
      <w:r w:rsidRPr="00700891">
        <w:rPr>
          <w:rFonts w:ascii="Calibri" w:eastAsia="Times New Roman" w:hAnsi="Calibri" w:cs="Calibri"/>
          <w:b/>
          <w:bCs/>
          <w:color w:val="666666"/>
          <w:sz w:val="24"/>
          <w:szCs w:val="24"/>
          <w:lang w:eastAsia="es-ES"/>
        </w:rPr>
        <w:t>Melania Palop</w:t>
      </w:r>
      <w:r w:rsidRPr="00700891">
        <w:rPr>
          <w:rFonts w:ascii="Calibri" w:eastAsia="Times New Roman" w:hAnsi="Calibri" w:cs="Calibri"/>
          <w:color w:val="666666"/>
          <w:sz w:val="24"/>
          <w:szCs w:val="24"/>
          <w:lang w:eastAsia="es-ES"/>
        </w:rPr>
        <w:t>. Incidiendo aún más en la cuestión de género, </w:t>
      </w:r>
      <w:r w:rsidRPr="00700891">
        <w:rPr>
          <w:rFonts w:ascii="Calibri" w:eastAsia="Times New Roman" w:hAnsi="Calibri" w:cs="Calibri"/>
          <w:b/>
          <w:bCs/>
          <w:color w:val="666666"/>
          <w:sz w:val="24"/>
          <w:szCs w:val="24"/>
          <w:lang w:eastAsia="es-ES"/>
        </w:rPr>
        <w:t>Miguel Ángel Barbero</w:t>
      </w:r>
      <w:r w:rsidRPr="00700891">
        <w:rPr>
          <w:rFonts w:ascii="Calibri" w:eastAsia="Times New Roman" w:hAnsi="Calibri" w:cs="Calibri"/>
          <w:color w:val="666666"/>
          <w:sz w:val="24"/>
          <w:szCs w:val="24"/>
          <w:lang w:eastAsia="es-ES"/>
        </w:rPr>
        <w:t> profundiza en la lucha de las mujeres golfistas españolas en todos los órdenes, incluyendo el jurídico, para destacar la desconsideración de su derecho a la imagen por parte de los propios órganos gestores del deporte. Las tecnologías y su repercusión en un derecho tan fundamental como el de las convicciones religiosas es un tema que aborda </w:t>
      </w:r>
      <w:proofErr w:type="spellStart"/>
      <w:r w:rsidRPr="00700891">
        <w:rPr>
          <w:rFonts w:ascii="Calibri" w:eastAsia="Times New Roman" w:hAnsi="Calibri" w:cs="Calibri"/>
          <w:b/>
          <w:bCs/>
          <w:color w:val="666666"/>
          <w:sz w:val="24"/>
          <w:szCs w:val="24"/>
          <w:lang w:eastAsia="es-ES"/>
        </w:rPr>
        <w:t>Sebastian</w:t>
      </w:r>
      <w:proofErr w:type="spellEnd"/>
      <w:r w:rsidRPr="00700891">
        <w:rPr>
          <w:rFonts w:ascii="Calibri" w:eastAsia="Times New Roman" w:hAnsi="Calibri" w:cs="Calibri"/>
          <w:b/>
          <w:bCs/>
          <w:color w:val="666666"/>
          <w:sz w:val="24"/>
          <w:szCs w:val="24"/>
          <w:lang w:eastAsia="es-ES"/>
        </w:rPr>
        <w:t xml:space="preserve"> </w:t>
      </w:r>
      <w:proofErr w:type="spellStart"/>
      <w:r w:rsidRPr="00700891">
        <w:rPr>
          <w:rFonts w:ascii="Calibri" w:eastAsia="Times New Roman" w:hAnsi="Calibri" w:cs="Calibri"/>
          <w:b/>
          <w:bCs/>
          <w:color w:val="666666"/>
          <w:sz w:val="24"/>
          <w:szCs w:val="24"/>
          <w:lang w:eastAsia="es-ES"/>
        </w:rPr>
        <w:t>Ciancio</w:t>
      </w:r>
      <w:proofErr w:type="spellEnd"/>
      <w:r w:rsidRPr="00700891">
        <w:rPr>
          <w:rFonts w:ascii="Calibri" w:eastAsia="Times New Roman" w:hAnsi="Calibri" w:cs="Calibri"/>
          <w:b/>
          <w:bCs/>
          <w:color w:val="666666"/>
          <w:sz w:val="24"/>
          <w:szCs w:val="24"/>
          <w:lang w:eastAsia="es-ES"/>
        </w:rPr>
        <w:t>. </w:t>
      </w:r>
      <w:r w:rsidRPr="00700891">
        <w:rPr>
          <w:rFonts w:ascii="Calibri" w:eastAsia="Times New Roman" w:hAnsi="Calibri" w:cs="Calibri"/>
          <w:color w:val="666666"/>
          <w:sz w:val="24"/>
          <w:szCs w:val="24"/>
          <w:lang w:eastAsia="es-ES"/>
        </w:rPr>
        <w:t xml:space="preserve">La emigración mejicana, en la región española de Cataluña, como modelo de </w:t>
      </w:r>
      <w:proofErr w:type="spellStart"/>
      <w:r w:rsidRPr="00700891">
        <w:rPr>
          <w:rFonts w:ascii="Calibri" w:eastAsia="Times New Roman" w:hAnsi="Calibri" w:cs="Calibri"/>
          <w:color w:val="666666"/>
          <w:sz w:val="24"/>
          <w:szCs w:val="24"/>
          <w:lang w:eastAsia="es-ES"/>
        </w:rPr>
        <w:t>soft</w:t>
      </w:r>
      <w:proofErr w:type="spellEnd"/>
      <w:r w:rsidRPr="00700891">
        <w:rPr>
          <w:rFonts w:ascii="Calibri" w:eastAsia="Times New Roman" w:hAnsi="Calibri" w:cs="Calibri"/>
          <w:color w:val="666666"/>
          <w:sz w:val="24"/>
          <w:szCs w:val="24"/>
          <w:lang w:eastAsia="es-ES"/>
        </w:rPr>
        <w:t xml:space="preserve"> </w:t>
      </w:r>
      <w:proofErr w:type="spellStart"/>
      <w:r w:rsidRPr="00700891">
        <w:rPr>
          <w:rFonts w:ascii="Calibri" w:eastAsia="Times New Roman" w:hAnsi="Calibri" w:cs="Calibri"/>
          <w:color w:val="666666"/>
          <w:sz w:val="24"/>
          <w:szCs w:val="24"/>
          <w:lang w:eastAsia="es-ES"/>
        </w:rPr>
        <w:t>power</w:t>
      </w:r>
      <w:proofErr w:type="spellEnd"/>
      <w:r w:rsidRPr="00700891">
        <w:rPr>
          <w:rFonts w:ascii="Calibri" w:eastAsia="Times New Roman" w:hAnsi="Calibri" w:cs="Calibri"/>
          <w:color w:val="666666"/>
          <w:sz w:val="24"/>
          <w:szCs w:val="24"/>
          <w:lang w:eastAsia="es-ES"/>
        </w:rPr>
        <w:t xml:space="preserve"> es otro ejemplo de asunto de actualidad inesperado en una publicación como la nuestra. No obstante, tiene su sentido en la medida en que se trata de un análisis cuantitativo sobre medios de comunicación, tratando de orillar, precisamente, el Derecho, la fuerza y la coacción y buscando actuar por el  lado de la diplomacia, el tacto y las buenas prácticas. Así lo contempla </w:t>
      </w:r>
      <w:r w:rsidRPr="00700891">
        <w:rPr>
          <w:rFonts w:ascii="Calibri" w:eastAsia="Times New Roman" w:hAnsi="Calibri" w:cs="Calibri"/>
          <w:b/>
          <w:bCs/>
          <w:color w:val="666666"/>
          <w:sz w:val="24"/>
          <w:szCs w:val="24"/>
          <w:lang w:eastAsia="es-ES"/>
        </w:rPr>
        <w:t>José Ramón Santillán.</w:t>
      </w:r>
      <w:r w:rsidRPr="00700891">
        <w:rPr>
          <w:rFonts w:ascii="Calibri" w:eastAsia="Times New Roman" w:hAnsi="Calibri" w:cs="Calibri"/>
          <w:color w:val="666666"/>
          <w:sz w:val="24"/>
          <w:szCs w:val="24"/>
          <w:lang w:eastAsia="es-ES"/>
        </w:rPr>
        <w:t> De la tercera edad se ocupa </w:t>
      </w:r>
      <w:r w:rsidRPr="00700891">
        <w:rPr>
          <w:rFonts w:ascii="Calibri" w:eastAsia="Times New Roman" w:hAnsi="Calibri" w:cs="Calibri"/>
          <w:b/>
          <w:bCs/>
          <w:color w:val="666666"/>
          <w:sz w:val="24"/>
          <w:szCs w:val="24"/>
          <w:lang w:eastAsia="es-ES"/>
        </w:rPr>
        <w:t>Olga Pérez Arroyo, </w:t>
      </w:r>
      <w:r w:rsidRPr="00700891">
        <w:rPr>
          <w:rFonts w:ascii="Calibri" w:eastAsia="Times New Roman" w:hAnsi="Calibri" w:cs="Calibri"/>
          <w:color w:val="666666"/>
          <w:sz w:val="24"/>
          <w:szCs w:val="24"/>
          <w:lang w:eastAsia="es-ES"/>
        </w:rPr>
        <w:t>en un trabajo sobre los abusos cometidos por descendientes que, sin embargo, osan reclamar su herencia al fallecer sus familiares más cercanos, sus padres, a los que vejaron, injuriaron o calumniaron en vida y, precisamente, en los últimos años, los más difíciles, de sus vidas, siendo las injurias uno de los delitos típicos en el estudio del derecho a la información. </w:t>
      </w:r>
      <w:r w:rsidRPr="00700891">
        <w:rPr>
          <w:rFonts w:ascii="Calibri" w:eastAsia="Times New Roman" w:hAnsi="Calibri" w:cs="Calibri"/>
          <w:b/>
          <w:bCs/>
          <w:color w:val="666666"/>
          <w:sz w:val="24"/>
          <w:szCs w:val="24"/>
          <w:lang w:eastAsia="es-ES"/>
        </w:rPr>
        <w:t>Daniel Montaño </w:t>
      </w:r>
      <w:r w:rsidRPr="00700891">
        <w:rPr>
          <w:rFonts w:ascii="Calibri" w:eastAsia="Times New Roman" w:hAnsi="Calibri" w:cs="Calibri"/>
          <w:color w:val="666666"/>
          <w:sz w:val="24"/>
          <w:szCs w:val="24"/>
          <w:lang w:eastAsia="es-ES"/>
        </w:rPr>
        <w:t>se aproxima a las emisoras de radio comunitarias, en Méjico, lo que es también un reflejo de los derechos de participación y transparencia en las sociedades avanzadas del siglo XXI.</w:t>
      </w:r>
    </w:p>
    <w:p w:rsidR="00700891" w:rsidRPr="00700891" w:rsidRDefault="00700891" w:rsidP="00700891">
      <w:pPr>
        <w:shd w:val="clear" w:color="auto" w:fill="FFFFFF"/>
        <w:spacing w:line="240" w:lineRule="auto"/>
        <w:jc w:val="both"/>
        <w:rPr>
          <w:rFonts w:ascii="Roboto" w:eastAsia="Times New Roman" w:hAnsi="Roboto" w:cs="Times New Roman"/>
          <w:color w:val="666666"/>
          <w:sz w:val="21"/>
          <w:szCs w:val="21"/>
          <w:lang w:eastAsia="es-ES"/>
        </w:rPr>
      </w:pPr>
      <w:r w:rsidRPr="00700891">
        <w:rPr>
          <w:rFonts w:ascii="Calibri" w:eastAsia="Times New Roman" w:hAnsi="Calibri" w:cs="Calibri"/>
          <w:color w:val="666666"/>
          <w:sz w:val="24"/>
          <w:szCs w:val="24"/>
          <w:lang w:eastAsia="es-ES"/>
        </w:rPr>
        <w:t>Terminando, prácticamente, llega el agudo trabajo académico de </w:t>
      </w:r>
      <w:r w:rsidRPr="00700891">
        <w:rPr>
          <w:rFonts w:ascii="Calibri" w:eastAsia="Times New Roman" w:hAnsi="Calibri" w:cs="Calibri"/>
          <w:b/>
          <w:bCs/>
          <w:color w:val="666666"/>
          <w:sz w:val="24"/>
          <w:szCs w:val="24"/>
          <w:lang w:eastAsia="es-ES"/>
        </w:rPr>
        <w:t>Laura Caballero,</w:t>
      </w:r>
      <w:r w:rsidRPr="00700891">
        <w:rPr>
          <w:rFonts w:ascii="Calibri" w:eastAsia="Times New Roman" w:hAnsi="Calibri" w:cs="Calibri"/>
          <w:color w:val="666666"/>
          <w:sz w:val="24"/>
          <w:szCs w:val="24"/>
          <w:lang w:eastAsia="es-ES"/>
        </w:rPr>
        <w:t> sobre el honor, un derecho nunca suficientemente estudiado, el de </w:t>
      </w:r>
      <w:r w:rsidRPr="00700891">
        <w:rPr>
          <w:rFonts w:ascii="Calibri" w:eastAsia="Times New Roman" w:hAnsi="Calibri" w:cs="Calibri"/>
          <w:b/>
          <w:bCs/>
          <w:color w:val="666666"/>
          <w:sz w:val="24"/>
          <w:szCs w:val="24"/>
          <w:lang w:eastAsia="es-ES"/>
        </w:rPr>
        <w:t xml:space="preserve">Serafín </w:t>
      </w:r>
      <w:proofErr w:type="spellStart"/>
      <w:r w:rsidRPr="00700891">
        <w:rPr>
          <w:rFonts w:ascii="Calibri" w:eastAsia="Times New Roman" w:hAnsi="Calibri" w:cs="Calibri"/>
          <w:b/>
          <w:bCs/>
          <w:color w:val="666666"/>
          <w:sz w:val="24"/>
          <w:szCs w:val="24"/>
          <w:lang w:eastAsia="es-ES"/>
        </w:rPr>
        <w:t>Chimeno</w:t>
      </w:r>
      <w:proofErr w:type="spellEnd"/>
      <w:r w:rsidRPr="00700891">
        <w:rPr>
          <w:rFonts w:ascii="Calibri" w:eastAsia="Times New Roman" w:hAnsi="Calibri" w:cs="Calibri"/>
          <w:color w:val="666666"/>
          <w:sz w:val="24"/>
          <w:szCs w:val="24"/>
          <w:lang w:eastAsia="es-ES"/>
        </w:rPr>
        <w:t>, con su reflexión decidida sobre el periodismo y la justicia, y la reseña de </w:t>
      </w:r>
      <w:r w:rsidRPr="00700891">
        <w:rPr>
          <w:rFonts w:ascii="Calibri" w:eastAsia="Times New Roman" w:hAnsi="Calibri" w:cs="Calibri"/>
          <w:b/>
          <w:bCs/>
          <w:color w:val="666666"/>
          <w:sz w:val="24"/>
          <w:szCs w:val="24"/>
          <w:lang w:eastAsia="es-ES"/>
        </w:rPr>
        <w:t>Félix Rebollo</w:t>
      </w:r>
      <w:r w:rsidRPr="00700891">
        <w:rPr>
          <w:rFonts w:ascii="Calibri" w:eastAsia="Times New Roman" w:hAnsi="Calibri" w:cs="Calibri"/>
          <w:color w:val="666666"/>
          <w:sz w:val="24"/>
          <w:szCs w:val="24"/>
          <w:lang w:eastAsia="es-ES"/>
        </w:rPr>
        <w:t xml:space="preserve"> sobre la obra de </w:t>
      </w:r>
      <w:proofErr w:type="spellStart"/>
      <w:r w:rsidRPr="00700891">
        <w:rPr>
          <w:rFonts w:ascii="Calibri" w:eastAsia="Times New Roman" w:hAnsi="Calibri" w:cs="Calibri"/>
          <w:color w:val="666666"/>
          <w:sz w:val="24"/>
          <w:szCs w:val="24"/>
          <w:lang w:eastAsia="es-ES"/>
        </w:rPr>
        <w:t>Boix</w:t>
      </w:r>
      <w:proofErr w:type="spellEnd"/>
      <w:r w:rsidRPr="00700891">
        <w:rPr>
          <w:rFonts w:ascii="Calibri" w:eastAsia="Times New Roman" w:hAnsi="Calibri" w:cs="Calibri"/>
          <w:color w:val="666666"/>
          <w:sz w:val="24"/>
          <w:szCs w:val="24"/>
          <w:lang w:eastAsia="es-ES"/>
        </w:rPr>
        <w:t xml:space="preserve"> Palop, Martínez Otero y Montiel Roig </w:t>
      </w:r>
      <w:r w:rsidRPr="00700891">
        <w:rPr>
          <w:rFonts w:ascii="Calibri" w:eastAsia="Times New Roman" w:hAnsi="Calibri" w:cs="Calibri"/>
          <w:i/>
          <w:iCs/>
          <w:color w:val="666666"/>
          <w:sz w:val="24"/>
          <w:szCs w:val="24"/>
          <w:lang w:eastAsia="es-ES"/>
        </w:rPr>
        <w:t>Regulación y control sobre contenidos audiovisuales en España</w:t>
      </w:r>
      <w:r w:rsidRPr="00700891">
        <w:rPr>
          <w:rFonts w:ascii="Calibri" w:eastAsia="Times New Roman" w:hAnsi="Calibri" w:cs="Calibri"/>
          <w:color w:val="666666"/>
          <w:sz w:val="24"/>
          <w:szCs w:val="24"/>
          <w:lang w:eastAsia="es-ES"/>
        </w:rPr>
        <w:t> (Thomson Reuters Aranzadi, 2018).</w:t>
      </w:r>
    </w:p>
    <w:p w:rsidR="00AD3228" w:rsidRDefault="00AD3228"/>
    <w:sectPr w:rsidR="00AD32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BDD"/>
    <w:multiLevelType w:val="multilevel"/>
    <w:tmpl w:val="8D3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EA"/>
    <w:rsid w:val="00700891"/>
    <w:rsid w:val="00AA25B9"/>
    <w:rsid w:val="00AD3228"/>
    <w:rsid w:val="00E85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10742">
      <w:bodyDiv w:val="1"/>
      <w:marLeft w:val="0"/>
      <w:marRight w:val="0"/>
      <w:marTop w:val="0"/>
      <w:marBottom w:val="0"/>
      <w:divBdr>
        <w:top w:val="none" w:sz="0" w:space="0" w:color="auto"/>
        <w:left w:val="none" w:sz="0" w:space="0" w:color="auto"/>
        <w:bottom w:val="none" w:sz="0" w:space="0" w:color="auto"/>
        <w:right w:val="none" w:sz="0" w:space="0" w:color="auto"/>
      </w:divBdr>
      <w:divsChild>
        <w:div w:id="349451751">
          <w:marLeft w:val="0"/>
          <w:marRight w:val="0"/>
          <w:marTop w:val="0"/>
          <w:marBottom w:val="0"/>
          <w:divBdr>
            <w:top w:val="none" w:sz="0" w:space="0" w:color="auto"/>
            <w:left w:val="none" w:sz="0" w:space="0" w:color="auto"/>
            <w:bottom w:val="none" w:sz="0" w:space="0" w:color="auto"/>
            <w:right w:val="none" w:sz="0" w:space="0" w:color="auto"/>
          </w:divBdr>
          <w:divsChild>
            <w:div w:id="79061580">
              <w:marLeft w:val="0"/>
              <w:marRight w:val="0"/>
              <w:marTop w:val="0"/>
              <w:marBottom w:val="0"/>
              <w:divBdr>
                <w:top w:val="none" w:sz="0" w:space="0" w:color="auto"/>
                <w:left w:val="none" w:sz="0" w:space="0" w:color="auto"/>
                <w:bottom w:val="none" w:sz="0" w:space="0" w:color="auto"/>
                <w:right w:val="none" w:sz="0" w:space="0" w:color="auto"/>
              </w:divBdr>
              <w:divsChild>
                <w:div w:id="1313026445">
                  <w:marLeft w:val="0"/>
                  <w:marRight w:val="0"/>
                  <w:marTop w:val="0"/>
                  <w:marBottom w:val="0"/>
                  <w:divBdr>
                    <w:top w:val="none" w:sz="0" w:space="0" w:color="auto"/>
                    <w:left w:val="none" w:sz="0" w:space="0" w:color="auto"/>
                    <w:bottom w:val="none" w:sz="0" w:space="0" w:color="auto"/>
                    <w:right w:val="none" w:sz="0" w:space="0" w:color="auto"/>
                  </w:divBdr>
                  <w:divsChild>
                    <w:div w:id="637147450">
                      <w:marLeft w:val="0"/>
                      <w:marRight w:val="0"/>
                      <w:marTop w:val="0"/>
                      <w:marBottom w:val="0"/>
                      <w:divBdr>
                        <w:top w:val="none" w:sz="0" w:space="0" w:color="auto"/>
                        <w:left w:val="none" w:sz="0" w:space="0" w:color="auto"/>
                        <w:bottom w:val="none" w:sz="0" w:space="0" w:color="auto"/>
                        <w:right w:val="none" w:sz="0" w:space="0" w:color="auto"/>
                      </w:divBdr>
                    </w:div>
                    <w:div w:id="500122197">
                      <w:marLeft w:val="0"/>
                      <w:marRight w:val="0"/>
                      <w:marTop w:val="0"/>
                      <w:marBottom w:val="0"/>
                      <w:divBdr>
                        <w:top w:val="none" w:sz="0" w:space="0" w:color="auto"/>
                        <w:left w:val="none" w:sz="0" w:space="0" w:color="auto"/>
                        <w:bottom w:val="none" w:sz="0" w:space="0" w:color="auto"/>
                        <w:right w:val="none" w:sz="0" w:space="0" w:color="auto"/>
                      </w:divBdr>
                    </w:div>
                  </w:divsChild>
                </w:div>
                <w:div w:id="16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ecom.com/secciones/introduccion-al-numero-histori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Revisor</cp:lastModifiedBy>
  <cp:revision>2</cp:revision>
  <dcterms:created xsi:type="dcterms:W3CDTF">2025-03-07T18:10:00Z</dcterms:created>
  <dcterms:modified xsi:type="dcterms:W3CDTF">2025-03-07T18:10:00Z</dcterms:modified>
</cp:coreProperties>
</file>