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537F1" w:rsidRDefault="00BE2D2F">
      <w:pPr>
        <w:spacing w:line="300" w:lineRule="auto"/>
        <w:jc w:val="both"/>
        <w:rPr>
          <w:rFonts w:ascii="Open Sans" w:eastAsia="Open Sans" w:hAnsi="Open Sans" w:cs="Open Sans"/>
          <w:b/>
          <w:sz w:val="24"/>
          <w:szCs w:val="24"/>
          <w:highlight w:val="white"/>
        </w:rPr>
      </w:pPr>
      <w:r>
        <w:rPr>
          <w:rFonts w:ascii="Open Sans" w:eastAsia="Open Sans" w:hAnsi="Open Sans" w:cs="Open Sans"/>
          <w:b/>
          <w:sz w:val="24"/>
          <w:szCs w:val="24"/>
          <w:highlight w:val="white"/>
        </w:rPr>
        <w:t>Normas de estilo</w:t>
      </w:r>
    </w:p>
    <w:p w14:paraId="00000002" w14:textId="77777777" w:rsidR="007537F1" w:rsidRDefault="00BE2D2F">
      <w:pPr>
        <w:numPr>
          <w:ilvl w:val="0"/>
          <w:numId w:val="2"/>
        </w:numPr>
        <w:spacing w:line="300" w:lineRule="auto"/>
        <w:jc w:val="both"/>
        <w:rPr>
          <w:rFonts w:ascii="Open Sans" w:eastAsia="Open Sans" w:hAnsi="Open Sans" w:cs="Open Sans"/>
          <w:sz w:val="24"/>
          <w:szCs w:val="24"/>
        </w:rPr>
      </w:pPr>
      <w:r>
        <w:rPr>
          <w:rFonts w:ascii="Open Sans" w:eastAsia="Open Sans" w:hAnsi="Open Sans" w:cs="Open Sans"/>
          <w:sz w:val="24"/>
          <w:szCs w:val="24"/>
          <w:highlight w:val="white"/>
        </w:rPr>
        <w:t>Todo artículo que no cumpla con los requisitos de formato y presentación o contenido, será devuelto al autor.</w:t>
      </w:r>
    </w:p>
    <w:p w14:paraId="00000003"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rPr>
        <w:t>El título del trabajo debe estar centrado, en negrita, con interlineado simple, letra Times New Roman y cuerpo 14.</w:t>
      </w:r>
    </w:p>
    <w:p w14:paraId="00000004"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rPr>
        <w:t xml:space="preserve">Debajo del título deben constar en líneas independientes los siguientes datos, centrados, con letra Times New Roman, cuerpo 12 e interlineado de 1’5: (1) Nombre y Apellidos del/os autor/es, </w:t>
      </w:r>
      <w:r>
        <w:rPr>
          <w:rFonts w:ascii="Open Sans" w:eastAsia="Open Sans" w:hAnsi="Open Sans" w:cs="Open Sans"/>
          <w:sz w:val="24"/>
          <w:szCs w:val="24"/>
          <w:highlight w:val="white"/>
        </w:rPr>
        <w:t>(2) nombre del Departamento</w:t>
      </w:r>
      <w:r>
        <w:rPr>
          <w:rFonts w:ascii="Open Sans" w:eastAsia="Open Sans" w:hAnsi="Open Sans" w:cs="Open Sans"/>
          <w:sz w:val="24"/>
          <w:szCs w:val="24"/>
        </w:rPr>
        <w:t xml:space="preserve">, (3) </w:t>
      </w:r>
      <w:r>
        <w:rPr>
          <w:rFonts w:ascii="Open Sans" w:eastAsia="Open Sans" w:hAnsi="Open Sans" w:cs="Open Sans"/>
          <w:sz w:val="24"/>
          <w:szCs w:val="24"/>
          <w:highlight w:val="white"/>
        </w:rPr>
        <w:t>Universidad o Institución</w:t>
      </w:r>
      <w:r>
        <w:rPr>
          <w:rFonts w:ascii="Open Sans" w:eastAsia="Open Sans" w:hAnsi="Open Sans" w:cs="Open Sans"/>
          <w:sz w:val="24"/>
          <w:szCs w:val="24"/>
        </w:rPr>
        <w:t xml:space="preserve"> y (4) c</w:t>
      </w:r>
      <w:r>
        <w:rPr>
          <w:rFonts w:ascii="Open Sans" w:eastAsia="Open Sans" w:hAnsi="Open Sans" w:cs="Open Sans"/>
          <w:sz w:val="24"/>
          <w:szCs w:val="24"/>
        </w:rPr>
        <w:t>orreo electrónico.</w:t>
      </w:r>
    </w:p>
    <w:p w14:paraId="00000005"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rPr>
        <w:t>Todos los trabajos, excepto las reseñas, se acompañarán de:</w:t>
      </w:r>
    </w:p>
    <w:p w14:paraId="00000006"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rPr>
      </w:pPr>
      <w:r>
        <w:rPr>
          <w:rFonts w:ascii="Open Sans" w:eastAsia="Open Sans" w:hAnsi="Open Sans" w:cs="Open Sans"/>
          <w:sz w:val="24"/>
          <w:szCs w:val="24"/>
        </w:rPr>
        <w:t>dos</w:t>
      </w:r>
      <w:r>
        <w:rPr>
          <w:rFonts w:ascii="Open Sans" w:eastAsia="Open Sans" w:hAnsi="Open Sans" w:cs="Open Sans"/>
          <w:b/>
          <w:sz w:val="24"/>
          <w:szCs w:val="24"/>
        </w:rPr>
        <w:t xml:space="preserve"> Resúmenes</w:t>
      </w:r>
      <w:r>
        <w:rPr>
          <w:rFonts w:ascii="Open Sans" w:eastAsia="Open Sans" w:hAnsi="Open Sans" w:cs="Open Sans"/>
          <w:sz w:val="24"/>
          <w:szCs w:val="24"/>
        </w:rPr>
        <w:t>, que no sobrepasarán las 150 palabras (en Times New Roman, cuerpo 10, redonda e interlineado sencillo), uno en el idioma del texto y otro en francés (o inglés); en</w:t>
      </w:r>
      <w:r>
        <w:rPr>
          <w:rFonts w:ascii="Open Sans" w:eastAsia="Open Sans" w:hAnsi="Open Sans" w:cs="Open Sans"/>
          <w:sz w:val="24"/>
          <w:szCs w:val="24"/>
        </w:rPr>
        <w:t xml:space="preserve"> caso de que ninguno de los dos resúmenes esté escrito en español se añadirá un tercer resumen en dicho idioma;</w:t>
      </w:r>
    </w:p>
    <w:p w14:paraId="00000007"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rPr>
      </w:pPr>
      <w:r>
        <w:rPr>
          <w:rFonts w:ascii="Open Sans" w:eastAsia="Open Sans" w:hAnsi="Open Sans" w:cs="Open Sans"/>
          <w:sz w:val="24"/>
          <w:szCs w:val="24"/>
        </w:rPr>
        <w:t xml:space="preserve">una serie de </w:t>
      </w:r>
      <w:r>
        <w:rPr>
          <w:rFonts w:ascii="Open Sans" w:eastAsia="Open Sans" w:hAnsi="Open Sans" w:cs="Open Sans"/>
          <w:b/>
          <w:sz w:val="24"/>
          <w:szCs w:val="24"/>
        </w:rPr>
        <w:t>Palabras clave</w:t>
      </w:r>
      <w:r>
        <w:rPr>
          <w:rFonts w:ascii="Open Sans" w:eastAsia="Open Sans" w:hAnsi="Open Sans" w:cs="Open Sans"/>
          <w:sz w:val="24"/>
          <w:szCs w:val="24"/>
        </w:rPr>
        <w:t xml:space="preserve"> o “descriptores” (entre tres y seis), separados por comas y en los dos (o  tres) idiomas de los resúmenes (en Times </w:t>
      </w:r>
      <w:r>
        <w:rPr>
          <w:rFonts w:ascii="Open Sans" w:eastAsia="Open Sans" w:hAnsi="Open Sans" w:cs="Open Sans"/>
          <w:sz w:val="24"/>
          <w:szCs w:val="24"/>
        </w:rPr>
        <w:t>New Roman, cuerpo 10, redonda e interlineado sencillo);</w:t>
      </w:r>
    </w:p>
    <w:p w14:paraId="00000008"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el título original del artículo se traducirá al inglés (o al francés) y, de ser el caso, al español; y</w:t>
      </w:r>
    </w:p>
    <w:p w14:paraId="00000009"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el sumario de los epígrafes numerados del trabajo en la lengua en que esté escrito.</w:t>
      </w:r>
    </w:p>
    <w:p w14:paraId="0000000A"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rPr>
        <w:t xml:space="preserve">Las </w:t>
      </w:r>
      <w:r>
        <w:rPr>
          <w:rFonts w:ascii="Open Sans" w:eastAsia="Open Sans" w:hAnsi="Open Sans" w:cs="Open Sans"/>
          <w:b/>
          <w:sz w:val="24"/>
          <w:szCs w:val="24"/>
        </w:rPr>
        <w:t>reseñas</w:t>
      </w:r>
      <w:r>
        <w:rPr>
          <w:rFonts w:ascii="Open Sans" w:eastAsia="Open Sans" w:hAnsi="Open Sans" w:cs="Open Sans"/>
          <w:sz w:val="24"/>
          <w:szCs w:val="24"/>
        </w:rPr>
        <w:t xml:space="preserve"> s</w:t>
      </w:r>
      <w:r>
        <w:rPr>
          <w:rFonts w:ascii="Open Sans" w:eastAsia="Open Sans" w:hAnsi="Open Sans" w:cs="Open Sans"/>
          <w:sz w:val="24"/>
          <w:szCs w:val="24"/>
        </w:rPr>
        <w:t xml:space="preserve">e encabezarán con la ficha bibliográfica completa del trabajo reseñado en letra negrita, según el modelo: </w:t>
      </w:r>
      <w:r>
        <w:rPr>
          <w:rFonts w:ascii="Open Sans" w:eastAsia="Open Sans" w:hAnsi="Open Sans" w:cs="Open Sans"/>
          <w:b/>
          <w:sz w:val="24"/>
          <w:szCs w:val="24"/>
        </w:rPr>
        <w:t xml:space="preserve">Elvira Fidalgo (ed.) (2020): </w:t>
      </w:r>
      <w:r>
        <w:rPr>
          <w:rFonts w:ascii="Open Sans" w:eastAsia="Open Sans" w:hAnsi="Open Sans" w:cs="Open Sans"/>
          <w:b/>
          <w:i/>
          <w:sz w:val="24"/>
          <w:szCs w:val="24"/>
        </w:rPr>
        <w:t>Alfonso X el Sabio: cronista y protagonista de su tiempo</w:t>
      </w:r>
      <w:r>
        <w:rPr>
          <w:rFonts w:ascii="Open Sans" w:eastAsia="Open Sans" w:hAnsi="Open Sans" w:cs="Open Sans"/>
          <w:b/>
          <w:sz w:val="24"/>
          <w:szCs w:val="24"/>
        </w:rPr>
        <w:t>. San Millán de la Cogolla: Cilengua. 386 pp. ISBN: 978-84-18088-</w:t>
      </w:r>
      <w:r>
        <w:rPr>
          <w:rFonts w:ascii="Open Sans" w:eastAsia="Open Sans" w:hAnsi="Open Sans" w:cs="Open Sans"/>
          <w:b/>
          <w:sz w:val="24"/>
          <w:szCs w:val="24"/>
        </w:rPr>
        <w:t>07-0</w:t>
      </w:r>
      <w:r>
        <w:rPr>
          <w:rFonts w:ascii="Open Sans" w:eastAsia="Open Sans" w:hAnsi="Open Sans" w:cs="Open Sans"/>
          <w:sz w:val="24"/>
          <w:szCs w:val="24"/>
        </w:rPr>
        <w:t>. El nombre del autor o de la autora de la recensión se pondrá al final de la reseña, indicando la institución o centro al que pertenece y el correo electrónico.</w:t>
      </w:r>
    </w:p>
    <w:p w14:paraId="0000000B"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highlight w:val="white"/>
        </w:rPr>
        <w:t xml:space="preserve">El </w:t>
      </w:r>
      <w:r>
        <w:rPr>
          <w:rFonts w:ascii="Open Sans" w:eastAsia="Open Sans" w:hAnsi="Open Sans" w:cs="Open Sans"/>
          <w:sz w:val="24"/>
          <w:szCs w:val="24"/>
        </w:rPr>
        <w:t>texto</w:t>
      </w:r>
      <w:r>
        <w:rPr>
          <w:rFonts w:ascii="Open Sans" w:eastAsia="Open Sans" w:hAnsi="Open Sans" w:cs="Open Sans"/>
          <w:sz w:val="24"/>
          <w:szCs w:val="24"/>
          <w:highlight w:val="white"/>
        </w:rPr>
        <w:t xml:space="preserve"> general del trabajo y la bibliografía final se escribirán con letra Times New Rom</w:t>
      </w:r>
      <w:r>
        <w:rPr>
          <w:rFonts w:ascii="Open Sans" w:eastAsia="Open Sans" w:hAnsi="Open Sans" w:cs="Open Sans"/>
          <w:sz w:val="24"/>
          <w:szCs w:val="24"/>
          <w:highlight w:val="white"/>
        </w:rPr>
        <w:t>an de cuerpo 12, interlineado 1,5 y márgenes superior e inferior de 2,5 cm.; izquierdo y derecho de 3 cm. Excepto en el primer párrafo de cada apartado (en caso de que se organice así el trabajo), en los demás se utilizará la sangría de primera línea de 1’</w:t>
      </w:r>
      <w:r>
        <w:rPr>
          <w:rFonts w:ascii="Open Sans" w:eastAsia="Open Sans" w:hAnsi="Open Sans" w:cs="Open Sans"/>
          <w:sz w:val="24"/>
          <w:szCs w:val="24"/>
          <w:highlight w:val="white"/>
        </w:rPr>
        <w:t>25 (</w:t>
      </w:r>
      <w:r>
        <w:rPr>
          <w:rFonts w:ascii="Open Sans" w:eastAsia="Open Sans" w:hAnsi="Open Sans" w:cs="Open Sans"/>
          <w:sz w:val="24"/>
          <w:szCs w:val="24"/>
        </w:rPr>
        <w:t>el inicio de cada párrafo no se sangrará nunca con tabulador). Si el autor utiliza puntualmente algún caracter distinto de Times New Roman, estará obligado a enviar el mapa de caracteres empleado.</w:t>
      </w:r>
    </w:p>
    <w:p w14:paraId="0000000C" w14:textId="33EAD90F"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 xml:space="preserve">En caso de que el trabajo se estructure en diversas secciones se recomienda no sobrepasar del tercer nivel de profundidad (1.3.2). Los títulos de cada apartado se pondrán en </w:t>
      </w:r>
      <w:r>
        <w:rPr>
          <w:rFonts w:ascii="Open Sans" w:eastAsia="Open Sans" w:hAnsi="Open Sans" w:cs="Open Sans"/>
          <w:b/>
          <w:sz w:val="24"/>
          <w:szCs w:val="24"/>
          <w:highlight w:val="white"/>
        </w:rPr>
        <w:t>negrita</w:t>
      </w:r>
      <w:bookmarkStart w:id="0" w:name="_GoBack"/>
      <w:bookmarkEnd w:id="0"/>
      <w:r>
        <w:rPr>
          <w:rFonts w:ascii="Open Sans" w:eastAsia="Open Sans" w:hAnsi="Open Sans" w:cs="Open Sans"/>
          <w:sz w:val="24"/>
          <w:szCs w:val="24"/>
          <w:highlight w:val="white"/>
        </w:rPr>
        <w:t>.</w:t>
      </w:r>
    </w:p>
    <w:p w14:paraId="0000000D"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L</w:t>
      </w:r>
      <w:r>
        <w:rPr>
          <w:rFonts w:ascii="Open Sans" w:eastAsia="Open Sans" w:hAnsi="Open Sans" w:cs="Open Sans"/>
          <w:sz w:val="24"/>
          <w:szCs w:val="24"/>
          <w:highlight w:val="white"/>
        </w:rPr>
        <w:t>as citas de más de tres líneas se dispondrán en Times New Roman, cuerpo 11, espaciado interlineal sencillo, y sangría de 1’25 por la izquierda. Tanto para integraciones de palabras en el texto citado como para supresiones, se usarán los corchetes [   ].</w:t>
      </w:r>
    </w:p>
    <w:p w14:paraId="0000000E"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lastRenderedPageBreak/>
        <w:t>La</w:t>
      </w:r>
      <w:r>
        <w:rPr>
          <w:rFonts w:ascii="Open Sans" w:eastAsia="Open Sans" w:hAnsi="Open Sans" w:cs="Open Sans"/>
          <w:sz w:val="24"/>
          <w:szCs w:val="24"/>
          <w:highlight w:val="white"/>
        </w:rPr>
        <w:t>s notas se pondrán siempre a pie de página con letra Times New Roman, cuerpo 10 e interlineado sencillo. Las llamadas de las notas dentro del texto deberán componerse en superíndice y darse antes de los signos de puntuación. En estos casos, el punto, la co</w:t>
      </w:r>
      <w:r>
        <w:rPr>
          <w:rFonts w:ascii="Open Sans" w:eastAsia="Open Sans" w:hAnsi="Open Sans" w:cs="Open Sans"/>
          <w:sz w:val="24"/>
          <w:szCs w:val="24"/>
          <w:highlight w:val="white"/>
        </w:rPr>
        <w:t>ma o el punto y coma se colocarán siempre después del número en superíndice, nunca antes (Ej.: Como ha señalado un cierto sector de la crítica</w:t>
      </w:r>
      <w:r>
        <w:rPr>
          <w:rFonts w:ascii="Open Sans" w:eastAsia="Open Sans" w:hAnsi="Open Sans" w:cs="Open Sans"/>
          <w:sz w:val="24"/>
          <w:szCs w:val="24"/>
          <w:highlight w:val="white"/>
          <w:vertAlign w:val="superscript"/>
        </w:rPr>
        <w:t>1</w:t>
      </w:r>
      <w:r>
        <w:rPr>
          <w:rFonts w:ascii="Open Sans" w:eastAsia="Open Sans" w:hAnsi="Open Sans" w:cs="Open Sans"/>
          <w:sz w:val="24"/>
          <w:szCs w:val="24"/>
          <w:highlight w:val="white"/>
        </w:rPr>
        <w:t>, …). Si hay comillas, estas se situarán siempre antes del número de la nota (Ej.: Según Christian Schmitt, «tamb</w:t>
      </w:r>
      <w:r>
        <w:rPr>
          <w:rFonts w:ascii="Open Sans" w:eastAsia="Open Sans" w:hAnsi="Open Sans" w:cs="Open Sans"/>
          <w:sz w:val="24"/>
          <w:szCs w:val="24"/>
          <w:highlight w:val="white"/>
        </w:rPr>
        <w:t>ién el portugués actual padece bajo las reglas extremadamente arduas para la transformación de la lengua hablada en lengua escrita»</w:t>
      </w:r>
      <w:r>
        <w:rPr>
          <w:rFonts w:ascii="Open Sans" w:eastAsia="Open Sans" w:hAnsi="Open Sans" w:cs="Open Sans"/>
          <w:sz w:val="24"/>
          <w:szCs w:val="24"/>
          <w:highlight w:val="white"/>
          <w:vertAlign w:val="superscript"/>
        </w:rPr>
        <w:t>1</w:t>
      </w:r>
      <w:r>
        <w:rPr>
          <w:rFonts w:ascii="Open Sans" w:eastAsia="Open Sans" w:hAnsi="Open Sans" w:cs="Open Sans"/>
          <w:sz w:val="24"/>
          <w:szCs w:val="24"/>
          <w:highlight w:val="white"/>
        </w:rPr>
        <w:t>).</w:t>
      </w:r>
    </w:p>
    <w:p w14:paraId="0000000F"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Para las citas textuales inferiores a tres líneas de extensión  (y para destacar o enfatizar alguna palabra) se usarán la</w:t>
      </w:r>
      <w:r>
        <w:rPr>
          <w:rFonts w:ascii="Open Sans" w:eastAsia="Open Sans" w:hAnsi="Open Sans" w:cs="Open Sans"/>
          <w:sz w:val="24"/>
          <w:szCs w:val="24"/>
          <w:highlight w:val="white"/>
        </w:rPr>
        <w:t>s comillas latinas («   »). Si se requiriese un segundo nivel de entrecomillado, se recurriría a las comillas altas dobles (“   ”) y, de ser necesario un tercer nivel, se usarán las comillas simples (‘   ’). Estas últimas también se utilizarán para destaca</w:t>
      </w:r>
      <w:r>
        <w:rPr>
          <w:rFonts w:ascii="Open Sans" w:eastAsia="Open Sans" w:hAnsi="Open Sans" w:cs="Open Sans"/>
          <w:sz w:val="24"/>
          <w:szCs w:val="24"/>
          <w:highlight w:val="white"/>
        </w:rPr>
        <w:t>r tipográficamente significados, sentidos o conceptos.</w:t>
      </w:r>
    </w:p>
    <w:p w14:paraId="00000010"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Para los incisos se usará la raya ― (no el guión ni el signo menos) al principio y al final de los mismos.</w:t>
      </w:r>
    </w:p>
    <w:p w14:paraId="00000011"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rPr>
        <w:t xml:space="preserve">Deben </w:t>
      </w:r>
      <w:r>
        <w:rPr>
          <w:rFonts w:ascii="Open Sans" w:eastAsia="Open Sans" w:hAnsi="Open Sans" w:cs="Open Sans"/>
          <w:sz w:val="24"/>
          <w:szCs w:val="24"/>
          <w:highlight w:val="white"/>
        </w:rPr>
        <w:t>ir</w:t>
      </w:r>
      <w:r>
        <w:rPr>
          <w:rFonts w:ascii="Open Sans" w:eastAsia="Open Sans" w:hAnsi="Open Sans" w:cs="Open Sans"/>
          <w:sz w:val="24"/>
          <w:szCs w:val="24"/>
        </w:rPr>
        <w:t xml:space="preserve"> en </w:t>
      </w:r>
      <w:r>
        <w:rPr>
          <w:rFonts w:ascii="Open Sans" w:eastAsia="Open Sans" w:hAnsi="Open Sans" w:cs="Open Sans"/>
          <w:i/>
          <w:sz w:val="24"/>
          <w:szCs w:val="24"/>
        </w:rPr>
        <w:t>cursiva</w:t>
      </w:r>
      <w:r>
        <w:rPr>
          <w:rFonts w:ascii="Open Sans" w:eastAsia="Open Sans" w:hAnsi="Open Sans" w:cs="Open Sans"/>
          <w:sz w:val="24"/>
          <w:szCs w:val="24"/>
        </w:rPr>
        <w:t xml:space="preserve"> las palabras en idioma distinto al original y las abreviaturas latinas.</w:t>
      </w:r>
    </w:p>
    <w:p w14:paraId="00000012"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La</w:t>
      </w:r>
      <w:r>
        <w:rPr>
          <w:rFonts w:ascii="Open Sans" w:eastAsia="Open Sans" w:hAnsi="Open Sans" w:cs="Open Sans"/>
          <w:sz w:val="24"/>
          <w:szCs w:val="24"/>
          <w:highlight w:val="white"/>
        </w:rPr>
        <w:t xml:space="preserve"> </w:t>
      </w:r>
      <w:r>
        <w:rPr>
          <w:rFonts w:ascii="Open Sans" w:eastAsia="Open Sans" w:hAnsi="Open Sans" w:cs="Open Sans"/>
          <w:sz w:val="24"/>
          <w:szCs w:val="24"/>
        </w:rPr>
        <w:t>letra</w:t>
      </w:r>
      <w:r>
        <w:rPr>
          <w:rFonts w:ascii="Open Sans" w:eastAsia="Open Sans" w:hAnsi="Open Sans" w:cs="Open Sans"/>
          <w:sz w:val="24"/>
          <w:szCs w:val="24"/>
          <w:highlight w:val="white"/>
        </w:rPr>
        <w:t xml:space="preserve"> </w:t>
      </w:r>
      <w:r>
        <w:rPr>
          <w:rFonts w:ascii="Open Sans" w:eastAsia="Open Sans" w:hAnsi="Open Sans" w:cs="Open Sans"/>
          <w:smallCaps/>
          <w:sz w:val="24"/>
          <w:szCs w:val="24"/>
          <w:highlight w:val="white"/>
        </w:rPr>
        <w:t>versalita</w:t>
      </w:r>
      <w:r>
        <w:rPr>
          <w:rFonts w:ascii="Open Sans" w:eastAsia="Open Sans" w:hAnsi="Open Sans" w:cs="Open Sans"/>
          <w:sz w:val="24"/>
          <w:szCs w:val="24"/>
          <w:highlight w:val="white"/>
        </w:rPr>
        <w:t xml:space="preserve"> será empleada para escribir las voces latinas, las etimologías (</w:t>
      </w:r>
      <w:r>
        <w:rPr>
          <w:rFonts w:ascii="Open Sans" w:eastAsia="Open Sans" w:hAnsi="Open Sans" w:cs="Open Sans"/>
          <w:smallCaps/>
          <w:sz w:val="24"/>
          <w:szCs w:val="24"/>
          <w:highlight w:val="white"/>
        </w:rPr>
        <w:t>ocŭlum</w:t>
      </w:r>
      <w:r>
        <w:rPr>
          <w:rFonts w:ascii="Open Sans" w:eastAsia="Open Sans" w:hAnsi="Open Sans" w:cs="Open Sans"/>
          <w:sz w:val="24"/>
          <w:szCs w:val="24"/>
          <w:highlight w:val="white"/>
        </w:rPr>
        <w:t xml:space="preserve"> &gt; ojo) y las cifras romanas de los siglos (</w:t>
      </w:r>
      <w:r>
        <w:rPr>
          <w:rFonts w:ascii="Open Sans" w:eastAsia="Open Sans" w:hAnsi="Open Sans" w:cs="Open Sans"/>
          <w:sz w:val="24"/>
          <w:szCs w:val="24"/>
        </w:rPr>
        <w:t xml:space="preserve">siglo </w:t>
      </w:r>
      <w:r>
        <w:rPr>
          <w:rFonts w:ascii="Open Sans" w:eastAsia="Open Sans" w:hAnsi="Open Sans" w:cs="Open Sans"/>
          <w:smallCaps/>
          <w:sz w:val="24"/>
          <w:szCs w:val="24"/>
        </w:rPr>
        <w:t>xv).</w:t>
      </w:r>
    </w:p>
    <w:p w14:paraId="00000013"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rPr>
        <w:t>Se pondrán en MAYÚSCULA las cifras romanas de los nombres de los reyes, papas, etc., así como los tomos de una obr</w:t>
      </w:r>
      <w:r>
        <w:rPr>
          <w:rFonts w:ascii="Open Sans" w:eastAsia="Open Sans" w:hAnsi="Open Sans" w:cs="Open Sans"/>
          <w:sz w:val="24"/>
          <w:szCs w:val="24"/>
        </w:rPr>
        <w:t xml:space="preserve">a, el número de las actas de un congreso y las siglas (estas últimas, además, en cursiva). Ejs.: Alfonso X el Sabio; tomo III; </w:t>
      </w:r>
      <w:r>
        <w:rPr>
          <w:rFonts w:ascii="Open Sans" w:eastAsia="Open Sans" w:hAnsi="Open Sans" w:cs="Open Sans"/>
          <w:i/>
          <w:sz w:val="24"/>
          <w:szCs w:val="24"/>
        </w:rPr>
        <w:t>Actas del XV Congreso de la Asociación Hispánica de Literatura Medieval</w:t>
      </w:r>
      <w:r>
        <w:rPr>
          <w:rFonts w:ascii="Open Sans" w:eastAsia="Open Sans" w:hAnsi="Open Sans" w:cs="Open Sans"/>
          <w:sz w:val="24"/>
          <w:szCs w:val="24"/>
        </w:rPr>
        <w:t xml:space="preserve">; </w:t>
      </w:r>
      <w:r>
        <w:rPr>
          <w:rFonts w:ascii="Open Sans" w:eastAsia="Open Sans" w:hAnsi="Open Sans" w:cs="Open Sans"/>
          <w:i/>
          <w:sz w:val="24"/>
          <w:szCs w:val="24"/>
        </w:rPr>
        <w:t>DCECH</w:t>
      </w:r>
      <w:r>
        <w:rPr>
          <w:rFonts w:ascii="Open Sans" w:eastAsia="Open Sans" w:hAnsi="Open Sans" w:cs="Open Sans"/>
          <w:sz w:val="24"/>
          <w:szCs w:val="24"/>
        </w:rPr>
        <w:t>.</w:t>
      </w:r>
    </w:p>
    <w:p w14:paraId="00000014"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rPr>
        <w:t>Las</w:t>
      </w:r>
      <w:r>
        <w:rPr>
          <w:rFonts w:ascii="Open Sans" w:eastAsia="Open Sans" w:hAnsi="Open Sans" w:cs="Open Sans"/>
          <w:sz w:val="24"/>
          <w:szCs w:val="24"/>
          <w:highlight w:val="white"/>
        </w:rPr>
        <w:t xml:space="preserve"> cifras romanas de los números de páginas se p</w:t>
      </w:r>
      <w:r>
        <w:rPr>
          <w:rFonts w:ascii="Open Sans" w:eastAsia="Open Sans" w:hAnsi="Open Sans" w:cs="Open Sans"/>
          <w:sz w:val="24"/>
          <w:szCs w:val="24"/>
          <w:highlight w:val="white"/>
        </w:rPr>
        <w:t>ondrán en minúscula. Ej.: pp. lx-lxii.</w:t>
      </w:r>
    </w:p>
    <w:p w14:paraId="00000015" w14:textId="77777777" w:rsidR="007537F1" w:rsidRDefault="00BE2D2F">
      <w:pPr>
        <w:numPr>
          <w:ilvl w:val="0"/>
          <w:numId w:val="2"/>
        </w:numPr>
        <w:spacing w:line="300" w:lineRule="auto"/>
        <w:jc w:val="both"/>
        <w:rPr>
          <w:rFonts w:ascii="Open Sans" w:eastAsia="Open Sans" w:hAnsi="Open Sans" w:cs="Open Sans"/>
        </w:rPr>
      </w:pPr>
      <w:r>
        <w:rPr>
          <w:rFonts w:ascii="Open Sans" w:eastAsia="Open Sans" w:hAnsi="Open Sans" w:cs="Open Sans"/>
          <w:sz w:val="24"/>
          <w:szCs w:val="24"/>
        </w:rPr>
        <w:t xml:space="preserve">Los cuadros, mapas, gráficos, tablas, figuras, etc., irán numerados y llevarán un breve pie o leyenda para su identificación (centrado en Times New Roman cuerpo 11 y espacio sencillo). Se indicará en el texto el lugar aproximado de colocación. </w:t>
      </w:r>
      <w:r>
        <w:rPr>
          <w:rFonts w:ascii="Open Sans" w:eastAsia="Open Sans" w:hAnsi="Open Sans" w:cs="Open Sans"/>
          <w:sz w:val="24"/>
          <w:szCs w:val="24"/>
          <w:highlight w:val="white"/>
        </w:rPr>
        <w:t>Cuando un ar</w:t>
      </w:r>
      <w:r>
        <w:rPr>
          <w:rFonts w:ascii="Open Sans" w:eastAsia="Open Sans" w:hAnsi="Open Sans" w:cs="Open Sans"/>
          <w:sz w:val="24"/>
          <w:szCs w:val="24"/>
          <w:highlight w:val="white"/>
        </w:rPr>
        <w:t xml:space="preserve">tículo contenga ilustraciones, estas deberán tener la calidad suficiente para ser reproducidas y los autores de los trabajos deberán asegurarse de que no incumplen las normas de los derechos de autor; pueden enviarse en soporte informático, manteniendo el </w:t>
      </w:r>
      <w:r>
        <w:rPr>
          <w:rFonts w:ascii="Open Sans" w:eastAsia="Open Sans" w:hAnsi="Open Sans" w:cs="Open Sans"/>
          <w:sz w:val="24"/>
          <w:szCs w:val="24"/>
          <w:highlight w:val="white"/>
        </w:rPr>
        <w:t xml:space="preserve">grado de calidad, en los formatos más usuales. </w:t>
      </w:r>
    </w:p>
    <w:p w14:paraId="00000016"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rPr>
        <w:t>Las listas, si van con viñetas, deben ir con guion normal y no con círculos o símbolos diferentes.</w:t>
      </w:r>
    </w:p>
    <w:p w14:paraId="00000017"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 xml:space="preserve">Las </w:t>
      </w:r>
      <w:r>
        <w:rPr>
          <w:rFonts w:ascii="Open Sans" w:eastAsia="Open Sans" w:hAnsi="Open Sans" w:cs="Open Sans"/>
          <w:sz w:val="24"/>
          <w:szCs w:val="24"/>
        </w:rPr>
        <w:t>referencias</w:t>
      </w:r>
      <w:r>
        <w:rPr>
          <w:rFonts w:ascii="Open Sans" w:eastAsia="Open Sans" w:hAnsi="Open Sans" w:cs="Open Sans"/>
          <w:sz w:val="24"/>
          <w:szCs w:val="24"/>
          <w:highlight w:val="white"/>
        </w:rPr>
        <w:t xml:space="preserve"> bibliográficas en el cuerpo del trabajo se darán según el modelo autor - año - página(s) [sin coma entre la referencia del autor y el año, y con dos puntos entre el año y la(s) página(s)]. Ejs.: Bernardi (2017); Toro / Vallín (2005: 98-102); Vasconcellos </w:t>
      </w:r>
      <w:r>
        <w:rPr>
          <w:rFonts w:ascii="Open Sans" w:eastAsia="Open Sans" w:hAnsi="Open Sans" w:cs="Open Sans"/>
          <w:sz w:val="24"/>
          <w:szCs w:val="24"/>
          <w:highlight w:val="white"/>
        </w:rPr>
        <w:t xml:space="preserve">(1900: I, 50-55); según Gómez Redondo (1998: 12), etc. En el caso de las ediciones críticas, habida cuenta del modelo de citación que se indica más adelante, la referencia se dará por el editor, según el ej.: como postula en </w:t>
      </w:r>
      <w:r>
        <w:rPr>
          <w:rFonts w:ascii="Open Sans" w:eastAsia="Open Sans" w:hAnsi="Open Sans" w:cs="Open Sans"/>
          <w:i/>
          <w:sz w:val="24"/>
          <w:szCs w:val="24"/>
          <w:highlight w:val="white"/>
        </w:rPr>
        <w:t>Il Filocolo</w:t>
      </w:r>
      <w:r>
        <w:rPr>
          <w:rFonts w:ascii="Open Sans" w:eastAsia="Open Sans" w:hAnsi="Open Sans" w:cs="Open Sans"/>
          <w:sz w:val="24"/>
          <w:szCs w:val="24"/>
          <w:highlight w:val="white"/>
        </w:rPr>
        <w:t xml:space="preserve"> (Blanco Valdés 2004</w:t>
      </w:r>
      <w:r>
        <w:rPr>
          <w:rFonts w:ascii="Open Sans" w:eastAsia="Open Sans" w:hAnsi="Open Sans" w:cs="Open Sans"/>
          <w:sz w:val="24"/>
          <w:szCs w:val="24"/>
          <w:highlight w:val="white"/>
        </w:rPr>
        <w:t>: 104-105)...</w:t>
      </w:r>
    </w:p>
    <w:p w14:paraId="00000018"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lastRenderedPageBreak/>
        <w:t>Las referencias bibliográficas se recogerán al final del trabajo encabezadas por el título</w:t>
      </w:r>
      <w:r>
        <w:rPr>
          <w:rFonts w:ascii="Open Sans" w:eastAsia="Open Sans" w:hAnsi="Open Sans" w:cs="Open Sans"/>
          <w:b/>
          <w:sz w:val="24"/>
          <w:szCs w:val="24"/>
          <w:highlight w:val="white"/>
        </w:rPr>
        <w:t xml:space="preserve"> Bibliografía</w:t>
      </w:r>
      <w:r>
        <w:rPr>
          <w:rFonts w:ascii="Open Sans" w:eastAsia="Open Sans" w:hAnsi="Open Sans" w:cs="Open Sans"/>
          <w:sz w:val="24"/>
          <w:szCs w:val="24"/>
          <w:highlight w:val="white"/>
        </w:rPr>
        <w:t xml:space="preserve"> en negrita. Se ordenarán alfabéticamente y se dispondrán en Times New Roman de cuerpo 12, interlineado 1,5 y sangría francesa de 1’25. Se </w:t>
      </w:r>
      <w:r>
        <w:rPr>
          <w:rFonts w:ascii="Open Sans" w:eastAsia="Open Sans" w:hAnsi="Open Sans" w:cs="Open Sans"/>
          <w:sz w:val="24"/>
          <w:szCs w:val="24"/>
          <w:highlight w:val="white"/>
        </w:rPr>
        <w:t>tendrán en cuenta las siguientes indicaciones generales:</w:t>
      </w:r>
    </w:p>
    <w:p w14:paraId="00000019"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 xml:space="preserve">Si el </w:t>
      </w:r>
      <w:r>
        <w:rPr>
          <w:rFonts w:ascii="Open Sans" w:eastAsia="Open Sans" w:hAnsi="Open Sans" w:cs="Open Sans"/>
          <w:sz w:val="24"/>
          <w:szCs w:val="24"/>
          <w:highlight w:val="white"/>
        </w:rPr>
        <w:t>autor</w:t>
      </w:r>
      <w:r>
        <w:rPr>
          <w:rFonts w:ascii="Open Sans" w:eastAsia="Open Sans" w:hAnsi="Open Sans" w:cs="Open Sans"/>
          <w:sz w:val="24"/>
          <w:szCs w:val="24"/>
        </w:rPr>
        <w:t xml:space="preserve"> tiene dos apellidos, se pondrán ambos y se consignará siempre el nombre de pila completo. Ej.: Gómez Redondo, Fernando.</w:t>
      </w:r>
    </w:p>
    <w:p w14:paraId="0000001A"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highlight w:val="white"/>
        </w:rPr>
        <w:t>En caso de haber varias referencias de un mismo autor, estas se con</w:t>
      </w:r>
      <w:r>
        <w:rPr>
          <w:rFonts w:ascii="Open Sans" w:eastAsia="Open Sans" w:hAnsi="Open Sans" w:cs="Open Sans"/>
          <w:sz w:val="24"/>
          <w:szCs w:val="24"/>
          <w:highlight w:val="white"/>
        </w:rPr>
        <w:t>signarán por orden cronológico y la identidad del autor se dará en todas ellas. De darse varias publicaciones de un autor del mismo año se dispondrán dando el año y las letras del alfabeto por orden correlativo (2010a, 2010b, 2010c…).</w:t>
      </w:r>
    </w:p>
    <w:p w14:paraId="0000001B"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 xml:space="preserve">Cuando un trabajo es </w:t>
      </w:r>
      <w:r>
        <w:rPr>
          <w:rFonts w:ascii="Open Sans" w:eastAsia="Open Sans" w:hAnsi="Open Sans" w:cs="Open Sans"/>
          <w:sz w:val="24"/>
          <w:szCs w:val="24"/>
        </w:rPr>
        <w:t>de más de un autor los nombres se separan por barras oblicuas. Ej.: Brea, Mercedes / Lorenzo Gradín, Pilar.</w:t>
      </w:r>
    </w:p>
    <w:p w14:paraId="0000001C"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highlight w:val="white"/>
        </w:rPr>
        <w:t>En caso de que el número de autores de un trabajo, o de editores/coordinadores de un volumen, sea superior a tres, se pondrá solo el nombre del prim</w:t>
      </w:r>
      <w:r>
        <w:rPr>
          <w:rFonts w:ascii="Open Sans" w:eastAsia="Open Sans" w:hAnsi="Open Sans" w:cs="Open Sans"/>
          <w:sz w:val="24"/>
          <w:szCs w:val="24"/>
          <w:highlight w:val="white"/>
        </w:rPr>
        <w:t xml:space="preserve">ero seguido de la indicación </w:t>
      </w:r>
      <w:r>
        <w:rPr>
          <w:rFonts w:ascii="Open Sans" w:eastAsia="Open Sans" w:hAnsi="Open Sans" w:cs="Open Sans"/>
          <w:i/>
          <w:sz w:val="24"/>
          <w:szCs w:val="24"/>
          <w:highlight w:val="white"/>
        </w:rPr>
        <w:t>et al.</w:t>
      </w:r>
      <w:r>
        <w:rPr>
          <w:rFonts w:ascii="Open Sans" w:eastAsia="Open Sans" w:hAnsi="Open Sans" w:cs="Open Sans"/>
          <w:sz w:val="24"/>
          <w:szCs w:val="24"/>
          <w:highlight w:val="white"/>
        </w:rPr>
        <w:t xml:space="preserve"> Ejs.: Arqués Corominas, Rossend </w:t>
      </w:r>
      <w:r>
        <w:rPr>
          <w:rFonts w:ascii="Open Sans" w:eastAsia="Open Sans" w:hAnsi="Open Sans" w:cs="Open Sans"/>
          <w:i/>
          <w:sz w:val="24"/>
          <w:szCs w:val="24"/>
          <w:highlight w:val="white"/>
        </w:rPr>
        <w:t>et al</w:t>
      </w:r>
      <w:r>
        <w:rPr>
          <w:rFonts w:ascii="Open Sans" w:eastAsia="Open Sans" w:hAnsi="Open Sans" w:cs="Open Sans"/>
          <w:sz w:val="24"/>
          <w:szCs w:val="24"/>
          <w:highlight w:val="white"/>
        </w:rPr>
        <w:t xml:space="preserve">.; Elsa Garrido </w:t>
      </w:r>
      <w:r>
        <w:rPr>
          <w:rFonts w:ascii="Open Sans" w:eastAsia="Open Sans" w:hAnsi="Open Sans" w:cs="Open Sans"/>
          <w:i/>
          <w:sz w:val="24"/>
          <w:szCs w:val="24"/>
          <w:highlight w:val="white"/>
        </w:rPr>
        <w:t>et al.</w:t>
      </w:r>
      <w:r>
        <w:rPr>
          <w:rFonts w:ascii="Open Sans" w:eastAsia="Open Sans" w:hAnsi="Open Sans" w:cs="Open Sans"/>
          <w:sz w:val="24"/>
          <w:szCs w:val="24"/>
          <w:highlight w:val="white"/>
        </w:rPr>
        <w:t xml:space="preserve"> (eds.).</w:t>
      </w:r>
    </w:p>
    <w:p w14:paraId="0000001D"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highlight w:val="white"/>
        </w:rPr>
        <w:t>Es opcional especificar la identidad de los responsables secundarios, como traductores, prologuistas, etc. Si se opta por hacerlo, al estimar que result</w:t>
      </w:r>
      <w:r>
        <w:rPr>
          <w:rFonts w:ascii="Open Sans" w:eastAsia="Open Sans" w:hAnsi="Open Sans" w:cs="Open Sans"/>
          <w:sz w:val="24"/>
          <w:szCs w:val="24"/>
          <w:highlight w:val="white"/>
        </w:rPr>
        <w:t>a relevante para la identificación de la obra, dicha información se facilitará después del título (como puede verse abajo en algunos de los ejemplos).</w:t>
      </w:r>
    </w:p>
    <w:p w14:paraId="0000001E"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Los lugares de edición se indicarán en la lengua que figure en la ficha técnica del volumen. Ejs.: New Yo</w:t>
      </w:r>
      <w:r>
        <w:rPr>
          <w:rFonts w:ascii="Open Sans" w:eastAsia="Open Sans" w:hAnsi="Open Sans" w:cs="Open Sans"/>
          <w:sz w:val="24"/>
          <w:szCs w:val="24"/>
        </w:rPr>
        <w:t>rk [no: Nueva York]; Genève [no: Ginebra].</w:t>
      </w:r>
    </w:p>
    <w:p w14:paraId="0000001F"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 xml:space="preserve">Cuando hay más de un lugar de edición y/o de una editorial se separan con barras oblicuas. Ejs.: </w:t>
      </w:r>
      <w:r>
        <w:rPr>
          <w:rFonts w:ascii="Open Sans" w:eastAsia="Open Sans" w:hAnsi="Open Sans" w:cs="Open Sans"/>
          <w:sz w:val="24"/>
          <w:szCs w:val="24"/>
          <w:highlight w:val="white"/>
        </w:rPr>
        <w:t>Berlin / New York</w:t>
      </w:r>
      <w:r>
        <w:rPr>
          <w:rFonts w:ascii="Open Sans" w:eastAsia="Open Sans" w:hAnsi="Open Sans" w:cs="Open Sans"/>
          <w:sz w:val="24"/>
          <w:szCs w:val="24"/>
        </w:rPr>
        <w:t xml:space="preserve">; </w:t>
      </w:r>
      <w:r>
        <w:rPr>
          <w:rFonts w:ascii="Open Sans" w:eastAsia="Open Sans" w:hAnsi="Open Sans" w:cs="Open Sans"/>
          <w:sz w:val="24"/>
          <w:szCs w:val="24"/>
          <w:highlight w:val="white"/>
        </w:rPr>
        <w:t xml:space="preserve"> Iberoamericana / Vervuert</w:t>
      </w:r>
      <w:r>
        <w:rPr>
          <w:rFonts w:ascii="Open Sans" w:eastAsia="Open Sans" w:hAnsi="Open Sans" w:cs="Open Sans"/>
          <w:sz w:val="24"/>
          <w:szCs w:val="24"/>
        </w:rPr>
        <w:t>.</w:t>
      </w:r>
    </w:p>
    <w:p w14:paraId="00000020"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En caso de que para un libro se maneje una edición distinta de la pri</w:t>
      </w:r>
      <w:r>
        <w:rPr>
          <w:rFonts w:ascii="Open Sans" w:eastAsia="Open Sans" w:hAnsi="Open Sans" w:cs="Open Sans"/>
          <w:sz w:val="24"/>
          <w:szCs w:val="24"/>
        </w:rPr>
        <w:t>mera, podrá darse la fecha de la primera edición entre corchetes después de la fecha de la edición manejada. Si no se conoce el año de la primera edición, se indicará el número de la edición manejada al final de la referencia.</w:t>
      </w:r>
    </w:p>
    <w:p w14:paraId="00000021"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Nunca se abrevian los números</w:t>
      </w:r>
      <w:r>
        <w:rPr>
          <w:rFonts w:ascii="Open Sans" w:eastAsia="Open Sans" w:hAnsi="Open Sans" w:cs="Open Sans"/>
          <w:sz w:val="24"/>
          <w:szCs w:val="24"/>
        </w:rPr>
        <w:t xml:space="preserve"> de páginas. Ej.: 212-213 [no: 212-13].</w:t>
      </w:r>
    </w:p>
    <w:p w14:paraId="00000022"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 xml:space="preserve">En las publicaciones electrónicas, al final de la referencia se añadirá el DOI, que se puede localizar realizando una búsqueda en la herramienta llamada Simple Text Query (&lt;www.crossref.org/SimpleTextQuery/&gt;), de la </w:t>
      </w:r>
      <w:r>
        <w:rPr>
          <w:rFonts w:ascii="Open Sans" w:eastAsia="Open Sans" w:hAnsi="Open Sans" w:cs="Open Sans"/>
          <w:sz w:val="24"/>
          <w:szCs w:val="24"/>
        </w:rPr>
        <w:t>agencia CrossRef para la validación del DOI.</w:t>
      </w:r>
    </w:p>
    <w:p w14:paraId="00000023"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jc w:val="both"/>
        <w:rPr>
          <w:rFonts w:ascii="Open Sans" w:eastAsia="Open Sans" w:hAnsi="Open Sans" w:cs="Open Sans"/>
          <w:sz w:val="24"/>
          <w:szCs w:val="24"/>
          <w:highlight w:val="white"/>
        </w:rPr>
      </w:pPr>
      <w:r>
        <w:rPr>
          <w:rFonts w:ascii="Open Sans" w:eastAsia="Open Sans" w:hAnsi="Open Sans" w:cs="Open Sans"/>
          <w:sz w:val="24"/>
          <w:szCs w:val="24"/>
        </w:rPr>
        <w:t>En el caso de que la publicación electrónica no disponga de DOI, al final de la referencia se añadirá el enlace entre &lt; &gt;, y la fecha de consulta entre corchetes [ ].</w:t>
      </w:r>
    </w:p>
    <w:p w14:paraId="00000024"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Ejemplos de citación bibliográfica:</w:t>
      </w:r>
    </w:p>
    <w:p w14:paraId="00000025"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240" w:lineRule="auto"/>
        <w:ind w:left="1072" w:firstLine="0"/>
        <w:jc w:val="both"/>
        <w:rPr>
          <w:rFonts w:ascii="Open Sans" w:eastAsia="Open Sans" w:hAnsi="Open Sans" w:cs="Open Sans"/>
          <w:b/>
          <w:sz w:val="24"/>
          <w:szCs w:val="24"/>
          <w:highlight w:val="white"/>
        </w:rPr>
      </w:pPr>
      <w:r>
        <w:rPr>
          <w:rFonts w:ascii="Open Sans" w:eastAsia="Open Sans" w:hAnsi="Open Sans" w:cs="Open Sans"/>
          <w:b/>
          <w:sz w:val="24"/>
          <w:szCs w:val="24"/>
          <w:highlight w:val="white"/>
        </w:rPr>
        <w:t>Libros</w:t>
      </w:r>
    </w:p>
    <w:p w14:paraId="00000026"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lastRenderedPageBreak/>
        <w:t xml:space="preserve">Murphy, James J. (1986 [1974]): </w:t>
      </w:r>
      <w:r>
        <w:rPr>
          <w:rFonts w:ascii="Open Sans" w:eastAsia="Open Sans" w:hAnsi="Open Sans" w:cs="Open Sans"/>
          <w:i/>
          <w:sz w:val="24"/>
          <w:szCs w:val="24"/>
          <w:highlight w:val="white"/>
        </w:rPr>
        <w:t>La retórica en la Edad Media. Historia de la teoría de la retórica desde San Agustín hasta el Renacimiento</w:t>
      </w:r>
      <w:r>
        <w:rPr>
          <w:rFonts w:ascii="Open Sans" w:eastAsia="Open Sans" w:hAnsi="Open Sans" w:cs="Open Sans"/>
          <w:sz w:val="24"/>
          <w:szCs w:val="24"/>
          <w:highlight w:val="white"/>
        </w:rPr>
        <w:t>. México D. F.: Fondo de Cultura Económica.</w:t>
      </w:r>
    </w:p>
    <w:p w14:paraId="00000027"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Alcina</w:t>
      </w:r>
      <w:r>
        <w:rPr>
          <w:rFonts w:ascii="Open Sans" w:eastAsia="Open Sans" w:hAnsi="Open Sans" w:cs="Open Sans"/>
          <w:smallCaps/>
          <w:sz w:val="24"/>
          <w:szCs w:val="24"/>
          <w:highlight w:val="white"/>
        </w:rPr>
        <w:t xml:space="preserve"> </w:t>
      </w:r>
      <w:r>
        <w:rPr>
          <w:rFonts w:ascii="Open Sans" w:eastAsia="Open Sans" w:hAnsi="Open Sans" w:cs="Open Sans"/>
          <w:sz w:val="24"/>
          <w:szCs w:val="24"/>
          <w:highlight w:val="white"/>
        </w:rPr>
        <w:t xml:space="preserve">Franch, Juan / Blecua, José Manuel (1998 [1975]): </w:t>
      </w:r>
      <w:r>
        <w:rPr>
          <w:rFonts w:ascii="Open Sans" w:eastAsia="Open Sans" w:hAnsi="Open Sans" w:cs="Open Sans"/>
          <w:i/>
          <w:sz w:val="24"/>
          <w:szCs w:val="24"/>
          <w:highlight w:val="white"/>
        </w:rPr>
        <w:t>Gramática español</w:t>
      </w:r>
      <w:r>
        <w:rPr>
          <w:rFonts w:ascii="Open Sans" w:eastAsia="Open Sans" w:hAnsi="Open Sans" w:cs="Open Sans"/>
          <w:i/>
          <w:sz w:val="24"/>
          <w:szCs w:val="24"/>
          <w:highlight w:val="white"/>
        </w:rPr>
        <w:t>a</w:t>
      </w:r>
      <w:r>
        <w:rPr>
          <w:rFonts w:ascii="Open Sans" w:eastAsia="Open Sans" w:hAnsi="Open Sans" w:cs="Open Sans"/>
          <w:sz w:val="24"/>
          <w:szCs w:val="24"/>
          <w:highlight w:val="white"/>
        </w:rPr>
        <w:t>. Barcelona: Ariel.</w:t>
      </w:r>
    </w:p>
    <w:p w14:paraId="00000028"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Vasconcelos, José Leite de (1900): </w:t>
      </w:r>
      <w:r>
        <w:rPr>
          <w:rFonts w:ascii="Open Sans" w:eastAsia="Open Sans" w:hAnsi="Open Sans" w:cs="Open Sans"/>
          <w:i/>
          <w:sz w:val="24"/>
          <w:szCs w:val="24"/>
          <w:highlight w:val="white"/>
        </w:rPr>
        <w:t>Estudos de Philologia Mirandesa</w:t>
      </w:r>
      <w:r>
        <w:rPr>
          <w:rFonts w:ascii="Open Sans" w:eastAsia="Open Sans" w:hAnsi="Open Sans" w:cs="Open Sans"/>
          <w:sz w:val="24"/>
          <w:szCs w:val="24"/>
          <w:highlight w:val="white"/>
        </w:rPr>
        <w:t>. Lisboa: Imprensa Nacional, 2 vols.</w:t>
      </w:r>
    </w:p>
    <w:p w14:paraId="00000029"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Academia de la Llingua Asturiana (2001): </w:t>
      </w:r>
      <w:r>
        <w:rPr>
          <w:rFonts w:ascii="Open Sans" w:eastAsia="Open Sans" w:hAnsi="Open Sans" w:cs="Open Sans"/>
          <w:i/>
          <w:sz w:val="24"/>
          <w:szCs w:val="24"/>
          <w:highlight w:val="white"/>
        </w:rPr>
        <w:t>Gramática de la llingua asturiana</w:t>
      </w:r>
      <w:r>
        <w:rPr>
          <w:rFonts w:ascii="Open Sans" w:eastAsia="Open Sans" w:hAnsi="Open Sans" w:cs="Open Sans"/>
          <w:sz w:val="24"/>
          <w:szCs w:val="24"/>
          <w:highlight w:val="white"/>
        </w:rPr>
        <w:t>. Oviedo: Academia de la Llingua Asturiana, 3ª ed.</w:t>
      </w:r>
    </w:p>
    <w:p w14:paraId="0000002A"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240" w:lineRule="auto"/>
        <w:ind w:left="1072" w:firstLine="0"/>
        <w:jc w:val="both"/>
        <w:rPr>
          <w:rFonts w:ascii="Open Sans" w:eastAsia="Open Sans" w:hAnsi="Open Sans" w:cs="Open Sans"/>
          <w:sz w:val="24"/>
          <w:szCs w:val="24"/>
          <w:highlight w:val="white"/>
        </w:rPr>
      </w:pPr>
      <w:r>
        <w:rPr>
          <w:rFonts w:ascii="Open Sans" w:eastAsia="Open Sans" w:hAnsi="Open Sans" w:cs="Open Sans"/>
          <w:b/>
          <w:sz w:val="24"/>
          <w:szCs w:val="24"/>
          <w:highlight w:val="white"/>
        </w:rPr>
        <w:t>Capítul</w:t>
      </w:r>
      <w:r>
        <w:rPr>
          <w:rFonts w:ascii="Open Sans" w:eastAsia="Open Sans" w:hAnsi="Open Sans" w:cs="Open Sans"/>
          <w:b/>
          <w:sz w:val="24"/>
          <w:szCs w:val="24"/>
          <w:highlight w:val="white"/>
        </w:rPr>
        <w:t>os</w:t>
      </w:r>
      <w:r>
        <w:rPr>
          <w:rFonts w:ascii="Open Sans" w:eastAsia="Open Sans" w:hAnsi="Open Sans" w:cs="Open Sans"/>
          <w:sz w:val="24"/>
          <w:szCs w:val="24"/>
          <w:highlight w:val="white"/>
        </w:rPr>
        <w:t xml:space="preserve"> </w:t>
      </w:r>
      <w:r>
        <w:rPr>
          <w:rFonts w:ascii="Open Sans" w:eastAsia="Open Sans" w:hAnsi="Open Sans" w:cs="Open Sans"/>
          <w:b/>
          <w:sz w:val="24"/>
          <w:szCs w:val="24"/>
          <w:highlight w:val="white"/>
        </w:rPr>
        <w:t>de libro / Actas</w:t>
      </w:r>
    </w:p>
    <w:p w14:paraId="0000002B"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Cortès-Colomé, Montserrat (2011): «Els alumnes acaben l’escolarització obligatòria amb dèficits en els coneixements de castellà pel fet d’estudiar (principalment) en llengua catalana?», in Miquel Strubell i Trueta </w:t>
      </w:r>
      <w:r>
        <w:rPr>
          <w:rFonts w:ascii="Open Sans" w:eastAsia="Open Sans" w:hAnsi="Open Sans" w:cs="Open Sans"/>
          <w:i/>
          <w:sz w:val="24"/>
          <w:szCs w:val="24"/>
          <w:highlight w:val="white"/>
        </w:rPr>
        <w:t>et al.</w:t>
      </w:r>
      <w:r>
        <w:rPr>
          <w:rFonts w:ascii="Open Sans" w:eastAsia="Open Sans" w:hAnsi="Open Sans" w:cs="Open Sans"/>
          <w:sz w:val="24"/>
          <w:szCs w:val="24"/>
          <w:highlight w:val="white"/>
        </w:rPr>
        <w:t xml:space="preserve"> (coords.), </w:t>
      </w:r>
      <w:r>
        <w:rPr>
          <w:rFonts w:ascii="Open Sans" w:eastAsia="Open Sans" w:hAnsi="Open Sans" w:cs="Open Sans"/>
          <w:i/>
          <w:sz w:val="24"/>
          <w:szCs w:val="24"/>
          <w:highlight w:val="white"/>
        </w:rPr>
        <w:t>Resu</w:t>
      </w:r>
      <w:r>
        <w:rPr>
          <w:rFonts w:ascii="Open Sans" w:eastAsia="Open Sans" w:hAnsi="Open Sans" w:cs="Open Sans"/>
          <w:i/>
          <w:sz w:val="24"/>
          <w:szCs w:val="24"/>
          <w:highlight w:val="white"/>
        </w:rPr>
        <w:t>ltats del model lingüístic escolar de Catalunya: l’evidència empírica</w:t>
      </w:r>
      <w:r>
        <w:rPr>
          <w:rFonts w:ascii="Open Sans" w:eastAsia="Open Sans" w:hAnsi="Open Sans" w:cs="Open Sans"/>
          <w:sz w:val="24"/>
          <w:szCs w:val="24"/>
          <w:highlight w:val="white"/>
        </w:rPr>
        <w:t>. Barcelona: Universitat Oberta de Catalunya, pp. 23-28.</w:t>
      </w:r>
    </w:p>
    <w:p w14:paraId="0000002C"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Brea, Mercedes / Fernández Campo, Francisco (1998): «El vocabulario provenzal-italiano de Angelo Colocci», in Giovanni Ruffino (ed</w:t>
      </w:r>
      <w:r>
        <w:rPr>
          <w:rFonts w:ascii="Open Sans" w:eastAsia="Open Sans" w:hAnsi="Open Sans" w:cs="Open Sans"/>
          <w:sz w:val="24"/>
          <w:szCs w:val="24"/>
          <w:highlight w:val="white"/>
        </w:rPr>
        <w:t xml:space="preserve">.), </w:t>
      </w:r>
      <w:r>
        <w:rPr>
          <w:rFonts w:ascii="Open Sans" w:eastAsia="Open Sans" w:hAnsi="Open Sans" w:cs="Open Sans"/>
          <w:i/>
          <w:sz w:val="24"/>
          <w:szCs w:val="24"/>
          <w:highlight w:val="white"/>
        </w:rPr>
        <w:t>Atti del XXI Congresso Internazionale di Linguistica e Filologia Romanza</w:t>
      </w:r>
      <w:r>
        <w:rPr>
          <w:rFonts w:ascii="Open Sans" w:eastAsia="Open Sans" w:hAnsi="Open Sans" w:cs="Open Sans"/>
          <w:sz w:val="24"/>
          <w:szCs w:val="24"/>
          <w:highlight w:val="white"/>
        </w:rPr>
        <w:t>. Tübingen / Firenze: Max Niemeyer / Edizioni del Galluzzo, vol. IV, pp. 339-350.</w:t>
      </w:r>
    </w:p>
    <w:p w14:paraId="0000002D"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240" w:lineRule="auto"/>
        <w:ind w:left="1072" w:firstLine="0"/>
        <w:jc w:val="both"/>
        <w:rPr>
          <w:rFonts w:ascii="Open Sans" w:eastAsia="Open Sans" w:hAnsi="Open Sans" w:cs="Open Sans"/>
          <w:sz w:val="24"/>
          <w:szCs w:val="24"/>
          <w:highlight w:val="white"/>
        </w:rPr>
      </w:pPr>
      <w:r>
        <w:rPr>
          <w:rFonts w:ascii="Open Sans" w:eastAsia="Open Sans" w:hAnsi="Open Sans" w:cs="Open Sans"/>
          <w:b/>
          <w:sz w:val="24"/>
          <w:szCs w:val="24"/>
          <w:highlight w:val="white"/>
        </w:rPr>
        <w:t>Artículos de revista</w:t>
      </w:r>
    </w:p>
    <w:p w14:paraId="0000002E"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Toro, Mª Isabel / Vallín, Gema (2005): «Hibridación y creación de una lengua </w:t>
      </w:r>
      <w:r>
        <w:rPr>
          <w:rFonts w:ascii="Open Sans" w:eastAsia="Open Sans" w:hAnsi="Open Sans" w:cs="Open Sans"/>
          <w:sz w:val="24"/>
          <w:szCs w:val="24"/>
          <w:highlight w:val="white"/>
        </w:rPr>
        <w:t xml:space="preserve">poética: el corpus gallego-castellano». </w:t>
      </w:r>
      <w:r>
        <w:rPr>
          <w:rFonts w:ascii="Open Sans" w:eastAsia="Open Sans" w:hAnsi="Open Sans" w:cs="Open Sans"/>
          <w:i/>
          <w:sz w:val="24"/>
          <w:szCs w:val="24"/>
          <w:highlight w:val="white"/>
        </w:rPr>
        <w:t>Revista de poética medieval</w:t>
      </w:r>
      <w:r>
        <w:rPr>
          <w:rFonts w:ascii="Open Sans" w:eastAsia="Open Sans" w:hAnsi="Open Sans" w:cs="Open Sans"/>
          <w:sz w:val="24"/>
          <w:szCs w:val="24"/>
          <w:highlight w:val="white"/>
        </w:rPr>
        <w:t xml:space="preserve"> 15, pp. 93-105.</w:t>
      </w:r>
    </w:p>
    <w:p w14:paraId="0000002F"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Pérez Barcala, Gerardo (2006): «</w:t>
      </w:r>
      <w:r>
        <w:rPr>
          <w:rFonts w:ascii="Open Sans" w:eastAsia="Open Sans" w:hAnsi="Open Sans" w:cs="Open Sans"/>
          <w:i/>
          <w:sz w:val="24"/>
          <w:szCs w:val="24"/>
          <w:highlight w:val="white"/>
        </w:rPr>
        <w:t>Repetitio versuum</w:t>
      </w:r>
      <w:r>
        <w:rPr>
          <w:rFonts w:ascii="Open Sans" w:eastAsia="Open Sans" w:hAnsi="Open Sans" w:cs="Open Sans"/>
          <w:sz w:val="24"/>
          <w:szCs w:val="24"/>
          <w:highlight w:val="white"/>
        </w:rPr>
        <w:t xml:space="preserve"> en la lírica gallego-portuguesa». </w:t>
      </w:r>
      <w:r>
        <w:rPr>
          <w:rFonts w:ascii="Open Sans" w:eastAsia="Open Sans" w:hAnsi="Open Sans" w:cs="Open Sans"/>
          <w:i/>
          <w:sz w:val="24"/>
          <w:szCs w:val="24"/>
          <w:highlight w:val="white"/>
        </w:rPr>
        <w:t>Revista de Filología Española</w:t>
      </w:r>
      <w:r>
        <w:rPr>
          <w:rFonts w:ascii="Open Sans" w:eastAsia="Open Sans" w:hAnsi="Open Sans" w:cs="Open Sans"/>
          <w:sz w:val="24"/>
          <w:szCs w:val="24"/>
          <w:highlight w:val="white"/>
        </w:rPr>
        <w:t xml:space="preserve"> 86/1, pp. 161-208. DOI: </w:t>
      </w:r>
      <w:hyperlink r:id="rId6">
        <w:r>
          <w:rPr>
            <w:rFonts w:ascii="Open Sans" w:eastAsia="Open Sans" w:hAnsi="Open Sans" w:cs="Open Sans"/>
            <w:color w:val="1155CC"/>
            <w:sz w:val="24"/>
            <w:szCs w:val="24"/>
            <w:highlight w:val="white"/>
            <w:u w:val="single"/>
          </w:rPr>
          <w:t>http://dx.doi.org/10.3989/rfe.2006.v86.i1.7</w:t>
        </w:r>
      </w:hyperlink>
      <w:r>
        <w:rPr>
          <w:rFonts w:ascii="Open Sans" w:eastAsia="Open Sans" w:hAnsi="Open Sans" w:cs="Open Sans"/>
          <w:sz w:val="24"/>
          <w:szCs w:val="24"/>
          <w:highlight w:val="white"/>
        </w:rPr>
        <w:t>.</w:t>
      </w:r>
    </w:p>
    <w:p w14:paraId="00000030"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Noia Campos, María Camiño (1995): «Historia da traducción en Galicia no marco da cultura europea». </w:t>
      </w:r>
      <w:r>
        <w:rPr>
          <w:rFonts w:ascii="Open Sans" w:eastAsia="Open Sans" w:hAnsi="Open Sans" w:cs="Open Sans"/>
          <w:i/>
          <w:sz w:val="24"/>
          <w:szCs w:val="24"/>
          <w:highlight w:val="white"/>
        </w:rPr>
        <w:t>Viceversa</w:t>
      </w:r>
      <w:r>
        <w:rPr>
          <w:rFonts w:ascii="Open Sans" w:eastAsia="Open Sans" w:hAnsi="Open Sans" w:cs="Open Sans"/>
          <w:sz w:val="24"/>
          <w:szCs w:val="24"/>
          <w:highlight w:val="white"/>
        </w:rPr>
        <w:t xml:space="preserve"> 1, pp. 13-62 &lt;</w:t>
      </w:r>
      <w:hyperlink r:id="rId7">
        <w:r>
          <w:rPr>
            <w:rFonts w:ascii="Open Sans" w:eastAsia="Open Sans" w:hAnsi="Open Sans" w:cs="Open Sans"/>
            <w:color w:val="1155CC"/>
            <w:sz w:val="24"/>
            <w:szCs w:val="24"/>
            <w:highlight w:val="white"/>
            <w:u w:val="single"/>
          </w:rPr>
          <w:t>https://revistas.webs.uvigo.es/index.php/viceversa/article/view/2216</w:t>
        </w:r>
      </w:hyperlink>
      <w:r>
        <w:rPr>
          <w:rFonts w:ascii="Open Sans" w:eastAsia="Open Sans" w:hAnsi="Open Sans" w:cs="Open Sans"/>
          <w:sz w:val="24"/>
          <w:szCs w:val="24"/>
          <w:highlight w:val="white"/>
        </w:rPr>
        <w:t>&gt; [Consulta: 30/10/2020].</w:t>
      </w:r>
    </w:p>
    <w:p w14:paraId="00000031"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ind w:left="1429" w:hanging="357"/>
        <w:jc w:val="both"/>
        <w:rPr>
          <w:rFonts w:ascii="Open Sans" w:eastAsia="Open Sans" w:hAnsi="Open Sans" w:cs="Open Sans"/>
          <w:b/>
          <w:sz w:val="24"/>
          <w:szCs w:val="24"/>
          <w:highlight w:val="white"/>
        </w:rPr>
      </w:pPr>
      <w:r>
        <w:rPr>
          <w:rFonts w:ascii="Open Sans" w:eastAsia="Open Sans" w:hAnsi="Open Sans" w:cs="Open Sans"/>
          <w:b/>
          <w:sz w:val="24"/>
          <w:szCs w:val="24"/>
          <w:highlight w:val="white"/>
        </w:rPr>
        <w:t>Ediciones de textos</w:t>
      </w:r>
    </w:p>
    <w:p w14:paraId="00000032"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Mettmann, Walter (ed.) (1981): Afonso X, o Sábio, </w:t>
      </w:r>
      <w:r>
        <w:rPr>
          <w:rFonts w:ascii="Open Sans" w:eastAsia="Open Sans" w:hAnsi="Open Sans" w:cs="Open Sans"/>
          <w:i/>
          <w:sz w:val="24"/>
          <w:szCs w:val="24"/>
          <w:highlight w:val="white"/>
        </w:rPr>
        <w:t>Cantigas de Santa Maria</w:t>
      </w:r>
      <w:r>
        <w:rPr>
          <w:rFonts w:ascii="Open Sans" w:eastAsia="Open Sans" w:hAnsi="Open Sans" w:cs="Open Sans"/>
          <w:sz w:val="24"/>
          <w:szCs w:val="24"/>
          <w:highlight w:val="white"/>
        </w:rPr>
        <w:t>. Vigo: Xerais, 3 vols.</w:t>
      </w:r>
    </w:p>
    <w:p w14:paraId="00000033"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lastRenderedPageBreak/>
        <w:t xml:space="preserve">Blanco Valdés, Carmen F. (ed. y trad.) (2004): Giovanni Boccaccio, </w:t>
      </w:r>
      <w:r>
        <w:rPr>
          <w:rFonts w:ascii="Open Sans" w:eastAsia="Open Sans" w:hAnsi="Open Sans" w:cs="Open Sans"/>
          <w:i/>
          <w:sz w:val="24"/>
          <w:szCs w:val="24"/>
          <w:highlight w:val="white"/>
        </w:rPr>
        <w:t>Il Filocolo</w:t>
      </w:r>
      <w:r>
        <w:rPr>
          <w:rFonts w:ascii="Open Sans" w:eastAsia="Open Sans" w:hAnsi="Open Sans" w:cs="Open Sans"/>
          <w:sz w:val="24"/>
          <w:szCs w:val="24"/>
          <w:highlight w:val="white"/>
        </w:rPr>
        <w:t>. Madrid: Gredos.</w:t>
      </w:r>
    </w:p>
    <w:p w14:paraId="00000034"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Rohland de Langbehn, Regula (ed.) (1997): Marqués de Santillana, </w:t>
      </w:r>
      <w:r>
        <w:rPr>
          <w:rFonts w:ascii="Open Sans" w:eastAsia="Open Sans" w:hAnsi="Open Sans" w:cs="Open Sans"/>
          <w:i/>
          <w:sz w:val="24"/>
          <w:szCs w:val="24"/>
          <w:highlight w:val="white"/>
        </w:rPr>
        <w:t>Comedieta de Ponza, sonetos, serranillas y otras obras</w:t>
      </w:r>
      <w:r>
        <w:rPr>
          <w:rFonts w:ascii="Open Sans" w:eastAsia="Open Sans" w:hAnsi="Open Sans" w:cs="Open Sans"/>
          <w:sz w:val="24"/>
          <w:szCs w:val="24"/>
          <w:highlight w:val="white"/>
        </w:rPr>
        <w:t>, estudio preliminar de Vicenç Beltran. B</w:t>
      </w:r>
      <w:r>
        <w:rPr>
          <w:rFonts w:ascii="Open Sans" w:eastAsia="Open Sans" w:hAnsi="Open Sans" w:cs="Open Sans"/>
          <w:sz w:val="24"/>
          <w:szCs w:val="24"/>
          <w:highlight w:val="white"/>
        </w:rPr>
        <w:t>arcelona: Crítica.</w:t>
      </w:r>
    </w:p>
    <w:p w14:paraId="00000035"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ind w:left="1429" w:hanging="357"/>
        <w:jc w:val="both"/>
        <w:rPr>
          <w:rFonts w:ascii="Open Sans" w:eastAsia="Open Sans" w:hAnsi="Open Sans" w:cs="Open Sans"/>
          <w:b/>
          <w:sz w:val="24"/>
          <w:szCs w:val="24"/>
          <w:highlight w:val="white"/>
        </w:rPr>
      </w:pPr>
      <w:r>
        <w:rPr>
          <w:rFonts w:ascii="Open Sans" w:eastAsia="Open Sans" w:hAnsi="Open Sans" w:cs="Open Sans"/>
          <w:b/>
          <w:sz w:val="24"/>
          <w:szCs w:val="24"/>
          <w:highlight w:val="white"/>
        </w:rPr>
        <w:t>Tesis doctorales</w:t>
      </w:r>
    </w:p>
    <w:p w14:paraId="00000036"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sz w:val="24"/>
          <w:szCs w:val="24"/>
          <w:highlight w:val="white"/>
        </w:rPr>
        <w:t xml:space="preserve">Milsark, Gary L. (1974): </w:t>
      </w:r>
      <w:r>
        <w:rPr>
          <w:rFonts w:ascii="Open Sans" w:eastAsia="Open Sans" w:hAnsi="Open Sans" w:cs="Open Sans"/>
          <w:i/>
          <w:sz w:val="24"/>
          <w:szCs w:val="24"/>
          <w:highlight w:val="white"/>
        </w:rPr>
        <w:t>Existential sentences in English</w:t>
      </w:r>
      <w:r>
        <w:rPr>
          <w:rFonts w:ascii="Open Sans" w:eastAsia="Open Sans" w:hAnsi="Open Sans" w:cs="Open Sans"/>
          <w:sz w:val="24"/>
          <w:szCs w:val="24"/>
          <w:highlight w:val="white"/>
        </w:rPr>
        <w:t xml:space="preserve"> [tesis doctoral]. Cambridge: Massachusetts Institute of Technology.</w:t>
      </w:r>
    </w:p>
    <w:p w14:paraId="00000037"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pBdr>
        <w:shd w:val="clear" w:color="auto" w:fill="FFFFFF"/>
        <w:spacing w:line="300" w:lineRule="auto"/>
        <w:ind w:left="1429" w:hanging="357"/>
        <w:jc w:val="both"/>
        <w:rPr>
          <w:rFonts w:ascii="Open Sans" w:eastAsia="Open Sans" w:hAnsi="Open Sans" w:cs="Open Sans"/>
          <w:b/>
          <w:sz w:val="24"/>
          <w:szCs w:val="24"/>
          <w:highlight w:val="white"/>
        </w:rPr>
      </w:pPr>
      <w:bookmarkStart w:id="1" w:name="_heading=h.gjdgxs" w:colFirst="0" w:colLast="0"/>
      <w:bookmarkEnd w:id="1"/>
      <w:r>
        <w:rPr>
          <w:rFonts w:ascii="Open Sans" w:eastAsia="Open Sans" w:hAnsi="Open Sans" w:cs="Open Sans"/>
          <w:b/>
          <w:sz w:val="24"/>
          <w:szCs w:val="24"/>
          <w:highlight w:val="white"/>
        </w:rPr>
        <w:t>Obras referenciadas por medio de siglas</w:t>
      </w:r>
    </w:p>
    <w:p w14:paraId="00000038"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RM</w:t>
      </w:r>
      <w:r>
        <w:rPr>
          <w:rFonts w:ascii="Open Sans" w:eastAsia="Open Sans" w:hAnsi="Open Sans" w:cs="Open Sans"/>
          <w:sz w:val="24"/>
          <w:szCs w:val="24"/>
          <w:highlight w:val="white"/>
        </w:rPr>
        <w:t xml:space="preserve"> = Tavani, Giuseppe (1967): </w:t>
      </w:r>
      <w:r>
        <w:rPr>
          <w:rFonts w:ascii="Open Sans" w:eastAsia="Open Sans" w:hAnsi="Open Sans" w:cs="Open Sans"/>
          <w:i/>
          <w:sz w:val="24"/>
          <w:szCs w:val="24"/>
          <w:highlight w:val="white"/>
        </w:rPr>
        <w:t>Repertorio Metrico della</w:t>
      </w:r>
      <w:r>
        <w:rPr>
          <w:rFonts w:ascii="Open Sans" w:eastAsia="Open Sans" w:hAnsi="Open Sans" w:cs="Open Sans"/>
          <w:i/>
          <w:sz w:val="24"/>
          <w:szCs w:val="24"/>
          <w:highlight w:val="white"/>
        </w:rPr>
        <w:t xml:space="preserve"> lirica galego-portoghese</w:t>
      </w:r>
      <w:r>
        <w:rPr>
          <w:rFonts w:ascii="Open Sans" w:eastAsia="Open Sans" w:hAnsi="Open Sans" w:cs="Open Sans"/>
          <w:sz w:val="24"/>
          <w:szCs w:val="24"/>
          <w:highlight w:val="white"/>
        </w:rPr>
        <w:t>. Roma: Edizioni dell’ Ateneo.</w:t>
      </w:r>
    </w:p>
    <w:p w14:paraId="00000039" w14:textId="77777777" w:rsidR="007537F1" w:rsidRDefault="00BE2D2F">
      <w:pPr>
        <w:pBdr>
          <w:top w:val="single" w:sz="6" w:space="0" w:color="DDDDDD"/>
          <w:left w:val="single" w:sz="6" w:space="18" w:color="DDDDDD"/>
          <w:bottom w:val="single" w:sz="6" w:space="15" w:color="DDDDDD"/>
          <w:right w:val="single" w:sz="6" w:space="0" w:color="DDDDDD"/>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NTLE</w:t>
      </w:r>
      <w:r>
        <w:rPr>
          <w:rFonts w:ascii="Open Sans" w:eastAsia="Open Sans" w:hAnsi="Open Sans" w:cs="Open Sans"/>
          <w:sz w:val="24"/>
          <w:szCs w:val="24"/>
          <w:highlight w:val="white"/>
        </w:rPr>
        <w:t xml:space="preserve"> = Nieto, Lidio / Alvar Ezquerra, Manuel (2007): </w:t>
      </w:r>
      <w:r>
        <w:rPr>
          <w:rFonts w:ascii="Open Sans" w:eastAsia="Open Sans" w:hAnsi="Open Sans" w:cs="Open Sans"/>
          <w:i/>
          <w:sz w:val="24"/>
          <w:szCs w:val="24"/>
          <w:highlight w:val="white"/>
        </w:rPr>
        <w:t>Nuevo tesoro lexicográfico del español (s. XIV-1726)</w:t>
      </w:r>
      <w:r>
        <w:rPr>
          <w:rFonts w:ascii="Open Sans" w:eastAsia="Open Sans" w:hAnsi="Open Sans" w:cs="Open Sans"/>
          <w:sz w:val="24"/>
          <w:szCs w:val="24"/>
          <w:highlight w:val="white"/>
        </w:rPr>
        <w:t>. Madrid: Arco Libros, 11 vols.</w:t>
      </w:r>
    </w:p>
    <w:p w14:paraId="0000003A" w14:textId="77777777" w:rsidR="007537F1" w:rsidRDefault="00BE2D2F">
      <w:pPr>
        <w:numPr>
          <w:ilvl w:val="0"/>
          <w:numId w:val="1"/>
        </w:numPr>
        <w:pBdr>
          <w:top w:val="single" w:sz="6" w:space="0" w:color="DDDDDD"/>
          <w:left w:val="single" w:sz="6" w:space="0" w:color="DDDDDD"/>
          <w:bottom w:val="single" w:sz="6" w:space="15" w:color="DDDDDD"/>
          <w:right w:val="single" w:sz="6" w:space="0" w:color="DDDDDD"/>
          <w:between w:val="nil"/>
        </w:pBdr>
        <w:shd w:val="clear" w:color="auto" w:fill="FFFFFF"/>
        <w:spacing w:line="300" w:lineRule="auto"/>
        <w:ind w:left="1429" w:hanging="357"/>
        <w:jc w:val="both"/>
        <w:rPr>
          <w:rFonts w:ascii="Open Sans" w:eastAsia="Open Sans" w:hAnsi="Open Sans" w:cs="Open Sans"/>
          <w:b/>
          <w:sz w:val="24"/>
          <w:szCs w:val="24"/>
          <w:highlight w:val="white"/>
        </w:rPr>
      </w:pPr>
      <w:bookmarkStart w:id="2" w:name="_heading=h.c8c6scdzvm8a" w:colFirst="0" w:colLast="0"/>
      <w:bookmarkEnd w:id="2"/>
      <w:r>
        <w:rPr>
          <w:rFonts w:ascii="Open Sans" w:eastAsia="Open Sans" w:hAnsi="Open Sans" w:cs="Open Sans"/>
          <w:b/>
          <w:sz w:val="24"/>
          <w:szCs w:val="24"/>
          <w:highlight w:val="white"/>
        </w:rPr>
        <w:t>Bases de Datos</w:t>
      </w:r>
    </w:p>
    <w:p w14:paraId="0000003B" w14:textId="77777777" w:rsidR="007537F1" w:rsidRDefault="00BE2D2F">
      <w:pPr>
        <w:pBdr>
          <w:top w:val="single" w:sz="6" w:space="0" w:color="DDDDDD"/>
          <w:left w:val="single" w:sz="6" w:space="18" w:color="DDDDDD"/>
          <w:bottom w:val="single" w:sz="6" w:space="15" w:color="DDDDDD"/>
          <w:right w:val="single" w:sz="6" w:space="0" w:color="DDDDDD"/>
          <w:between w:val="nil"/>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BITAGAP</w:t>
      </w:r>
      <w:r>
        <w:rPr>
          <w:rFonts w:ascii="Open Sans" w:eastAsia="Open Sans" w:hAnsi="Open Sans" w:cs="Open Sans"/>
          <w:sz w:val="24"/>
          <w:szCs w:val="24"/>
          <w:highlight w:val="white"/>
        </w:rPr>
        <w:t xml:space="preserve"> = Askins, Arthur L-F. (dir.) (1997-): </w:t>
      </w:r>
      <w:r>
        <w:rPr>
          <w:rFonts w:ascii="Open Sans" w:eastAsia="Open Sans" w:hAnsi="Open Sans" w:cs="Open Sans"/>
          <w:i/>
          <w:sz w:val="24"/>
          <w:szCs w:val="24"/>
          <w:highlight w:val="white"/>
        </w:rPr>
        <w:t>Bibliografia de Textos Antigos Galegos e Portugueses</w:t>
      </w:r>
      <w:r>
        <w:rPr>
          <w:rFonts w:ascii="Open Sans" w:eastAsia="Open Sans" w:hAnsi="Open Sans" w:cs="Open Sans"/>
          <w:sz w:val="24"/>
          <w:szCs w:val="24"/>
          <w:highlight w:val="white"/>
        </w:rPr>
        <w:t>. Berkeley: University of California / The Bancroft Library &lt;</w:t>
      </w:r>
      <w:hyperlink r:id="rId8">
        <w:r>
          <w:rPr>
            <w:rFonts w:ascii="Open Sans" w:eastAsia="Open Sans" w:hAnsi="Open Sans" w:cs="Open Sans"/>
            <w:color w:val="1155CC"/>
            <w:sz w:val="24"/>
            <w:szCs w:val="24"/>
            <w:highlight w:val="white"/>
            <w:u w:val="single"/>
          </w:rPr>
          <w:t>https://bancroft.berkeley.edu/philobiblon/bitagap_ga.html</w:t>
        </w:r>
      </w:hyperlink>
      <w:r>
        <w:rPr>
          <w:rFonts w:ascii="Open Sans" w:eastAsia="Open Sans" w:hAnsi="Open Sans" w:cs="Open Sans"/>
          <w:sz w:val="24"/>
          <w:szCs w:val="24"/>
          <w:highlight w:val="white"/>
        </w:rPr>
        <w:t>&gt; [Consul</w:t>
      </w:r>
      <w:r>
        <w:rPr>
          <w:rFonts w:ascii="Open Sans" w:eastAsia="Open Sans" w:hAnsi="Open Sans" w:cs="Open Sans"/>
          <w:sz w:val="24"/>
          <w:szCs w:val="24"/>
          <w:highlight w:val="white"/>
        </w:rPr>
        <w:t>ta: 30/10/2020].</w:t>
      </w:r>
    </w:p>
    <w:p w14:paraId="0000003C" w14:textId="77777777" w:rsidR="007537F1" w:rsidRDefault="00BE2D2F">
      <w:pPr>
        <w:pBdr>
          <w:top w:val="single" w:sz="6" w:space="0" w:color="DDDDDD"/>
          <w:left w:val="single" w:sz="6" w:space="18" w:color="DDDDDD"/>
          <w:bottom w:val="single" w:sz="6" w:space="15" w:color="DDDDDD"/>
          <w:right w:val="single" w:sz="6" w:space="0" w:color="DDDDDD"/>
          <w:between w:val="nil"/>
        </w:pBdr>
        <w:shd w:val="clear" w:color="auto" w:fill="FFFFFF"/>
        <w:spacing w:line="300" w:lineRule="auto"/>
        <w:ind w:left="2155" w:hanging="720"/>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GLOSSA</w:t>
      </w:r>
      <w:r>
        <w:rPr>
          <w:rFonts w:ascii="Open Sans" w:eastAsia="Open Sans" w:hAnsi="Open Sans" w:cs="Open Sans"/>
          <w:sz w:val="24"/>
          <w:szCs w:val="24"/>
          <w:highlight w:val="white"/>
        </w:rPr>
        <w:t xml:space="preserve"> = Ferreiro, Manuel (dir.) (2014-): </w:t>
      </w:r>
      <w:r>
        <w:rPr>
          <w:rFonts w:ascii="Open Sans" w:eastAsia="Open Sans" w:hAnsi="Open Sans" w:cs="Open Sans"/>
          <w:i/>
          <w:sz w:val="24"/>
          <w:szCs w:val="24"/>
          <w:highlight w:val="white"/>
        </w:rPr>
        <w:t>Glosario da poesía medieval profana galego-portuguesa</w:t>
      </w:r>
      <w:r>
        <w:rPr>
          <w:rFonts w:ascii="Open Sans" w:eastAsia="Open Sans" w:hAnsi="Open Sans" w:cs="Open Sans"/>
          <w:sz w:val="24"/>
          <w:szCs w:val="24"/>
          <w:highlight w:val="white"/>
        </w:rPr>
        <w:t>. Universidade da Coruña &lt;</w:t>
      </w:r>
      <w:hyperlink r:id="rId9">
        <w:r>
          <w:rPr>
            <w:rFonts w:ascii="Open Sans" w:eastAsia="Open Sans" w:hAnsi="Open Sans" w:cs="Open Sans"/>
            <w:color w:val="1155CC"/>
            <w:sz w:val="24"/>
            <w:szCs w:val="24"/>
            <w:highlight w:val="white"/>
            <w:u w:val="single"/>
          </w:rPr>
          <w:t>http://glossa.gal</w:t>
        </w:r>
      </w:hyperlink>
      <w:r>
        <w:rPr>
          <w:rFonts w:ascii="Open Sans" w:eastAsia="Open Sans" w:hAnsi="Open Sans" w:cs="Open Sans"/>
          <w:sz w:val="24"/>
          <w:szCs w:val="24"/>
          <w:highlight w:val="white"/>
        </w:rPr>
        <w:t>&gt; [Consulta: 30/10/2020].</w:t>
      </w:r>
    </w:p>
    <w:p w14:paraId="0000003D" w14:textId="77777777" w:rsidR="007537F1" w:rsidRDefault="00BE2D2F">
      <w:pPr>
        <w:numPr>
          <w:ilvl w:val="0"/>
          <w:numId w:val="2"/>
        </w:numPr>
        <w:spacing w:line="300" w:lineRule="auto"/>
        <w:jc w:val="both"/>
        <w:rPr>
          <w:rFonts w:ascii="Open Sans" w:eastAsia="Open Sans" w:hAnsi="Open Sans" w:cs="Open Sans"/>
          <w:highlight w:val="white"/>
        </w:rPr>
      </w:pPr>
      <w:r>
        <w:rPr>
          <w:rFonts w:ascii="Open Sans" w:eastAsia="Open Sans" w:hAnsi="Open Sans" w:cs="Open Sans"/>
          <w:sz w:val="24"/>
          <w:szCs w:val="24"/>
          <w:highlight w:val="white"/>
        </w:rPr>
        <w:t xml:space="preserve">Podrán utilizarse las siguientes abreviaturas y voces latinas: </w:t>
      </w:r>
    </w:p>
    <w:p w14:paraId="0000003E"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coord., coords. = coordinador/a, coordinadores/as</w:t>
      </w:r>
    </w:p>
    <w:p w14:paraId="0000003F"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dir., dirs. = director/a, directores/as</w:t>
      </w:r>
    </w:p>
    <w:p w14:paraId="00000040"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ed., eds. = edición y editor/a, ediciones y editores/as</w:t>
      </w:r>
    </w:p>
    <w:p w14:paraId="00000041"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trad., trads. = traducción y traductor/a, trad</w:t>
      </w:r>
      <w:r>
        <w:rPr>
          <w:rFonts w:ascii="Open Sans" w:eastAsia="Open Sans" w:hAnsi="Open Sans" w:cs="Open Sans"/>
          <w:sz w:val="24"/>
          <w:szCs w:val="24"/>
          <w:highlight w:val="white"/>
        </w:rPr>
        <w:t>uctores/as</w:t>
      </w:r>
    </w:p>
    <w:p w14:paraId="00000042"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intr. = introducción</w:t>
      </w:r>
    </w:p>
    <w:p w14:paraId="00000043"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pról. = prólogo</w:t>
      </w:r>
    </w:p>
    <w:p w14:paraId="00000044"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s. f. = sin fecha</w:t>
      </w:r>
    </w:p>
    <w:p w14:paraId="00000045"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s. l. = sin lugar</w:t>
      </w:r>
    </w:p>
    <w:p w14:paraId="00000046" w14:textId="77777777" w:rsidR="007537F1" w:rsidRDefault="00BE2D2F">
      <w:pPr>
        <w:spacing w:line="300" w:lineRule="auto"/>
        <w:ind w:left="714"/>
        <w:jc w:val="both"/>
        <w:rPr>
          <w:rFonts w:ascii="Open Sans" w:eastAsia="Open Sans" w:hAnsi="Open Sans" w:cs="Open Sans"/>
          <w:sz w:val="24"/>
          <w:szCs w:val="24"/>
        </w:rPr>
      </w:pPr>
      <w:r>
        <w:rPr>
          <w:rFonts w:ascii="Open Sans" w:eastAsia="Open Sans" w:hAnsi="Open Sans" w:cs="Open Sans"/>
          <w:sz w:val="24"/>
          <w:szCs w:val="24"/>
        </w:rPr>
        <w:t>s. n. = sin nombre [de autor]</w:t>
      </w:r>
    </w:p>
    <w:p w14:paraId="00000047"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rPr>
        <w:t>s. p. = sin página</w:t>
      </w:r>
    </w:p>
    <w:p w14:paraId="00000048"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lastRenderedPageBreak/>
        <w:t>cap., caps. = capítulo(s)</w:t>
      </w:r>
    </w:p>
    <w:p w14:paraId="00000049"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vol., vols. = volumen, volúmenes</w:t>
      </w:r>
    </w:p>
    <w:p w14:paraId="0000004A"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t., tt. = tomo(s)</w:t>
      </w:r>
    </w:p>
    <w:p w14:paraId="0000004B"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ms., mss. = manuscrito(s)</w:t>
      </w:r>
    </w:p>
    <w:p w14:paraId="0000004C"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f., ff. = folio(s)</w:t>
      </w:r>
    </w:p>
    <w:p w14:paraId="0000004D"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col. = columna</w:t>
      </w:r>
    </w:p>
    <w:p w14:paraId="0000004E"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rPr>
        <w:t>r = recto; v = verso</w:t>
      </w:r>
    </w:p>
    <w:p w14:paraId="0000004F"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v., vv. = verso(s)</w:t>
      </w:r>
    </w:p>
    <w:p w14:paraId="00000050"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p., pp. = página(s)</w:t>
      </w:r>
    </w:p>
    <w:p w14:paraId="00000051"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rPr>
        <w:t>lín. = línea</w:t>
      </w:r>
    </w:p>
    <w:p w14:paraId="00000052"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s., ss. = siguiente(s), siglo(s)</w:t>
      </w:r>
    </w:p>
    <w:p w14:paraId="00000053"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núm., núms. = número(s)</w:t>
      </w:r>
    </w:p>
    <w:p w14:paraId="00000054"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highlight w:val="white"/>
        </w:rPr>
        <w:t>p. ej. = por ejemplo</w:t>
      </w:r>
    </w:p>
    <w:p w14:paraId="00000055"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sz w:val="24"/>
          <w:szCs w:val="24"/>
        </w:rPr>
        <w:t>a. C.; d. C. = antes/después de Cristo</w:t>
      </w:r>
    </w:p>
    <w:p w14:paraId="00000056"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i/>
          <w:sz w:val="24"/>
          <w:szCs w:val="24"/>
        </w:rPr>
        <w:t>et al</w:t>
      </w:r>
      <w:r>
        <w:rPr>
          <w:rFonts w:ascii="Open Sans" w:eastAsia="Open Sans" w:hAnsi="Open Sans" w:cs="Open Sans"/>
          <w:sz w:val="24"/>
          <w:szCs w:val="24"/>
        </w:rPr>
        <w:t>. = y otros</w:t>
      </w:r>
    </w:p>
    <w:p w14:paraId="00000057" w14:textId="77777777" w:rsidR="007537F1" w:rsidRDefault="00BE2D2F">
      <w:pPr>
        <w:spacing w:line="300" w:lineRule="auto"/>
        <w:ind w:left="714"/>
        <w:jc w:val="both"/>
        <w:rPr>
          <w:rFonts w:ascii="Open Sans" w:eastAsia="Open Sans" w:hAnsi="Open Sans" w:cs="Open Sans"/>
          <w:sz w:val="24"/>
          <w:szCs w:val="24"/>
        </w:rPr>
      </w:pPr>
      <w:r>
        <w:rPr>
          <w:rFonts w:ascii="Open Sans" w:eastAsia="Open Sans" w:hAnsi="Open Sans" w:cs="Open Sans"/>
          <w:i/>
          <w:sz w:val="24"/>
          <w:szCs w:val="24"/>
        </w:rPr>
        <w:t>vid.</w:t>
      </w:r>
      <w:r>
        <w:rPr>
          <w:rFonts w:ascii="Open Sans" w:eastAsia="Open Sans" w:hAnsi="Open Sans" w:cs="Open Sans"/>
          <w:sz w:val="24"/>
          <w:szCs w:val="24"/>
        </w:rPr>
        <w:t xml:space="preserve"> = ver/véase</w:t>
      </w:r>
    </w:p>
    <w:p w14:paraId="00000058" w14:textId="77777777" w:rsidR="007537F1" w:rsidRDefault="00BE2D2F">
      <w:pPr>
        <w:spacing w:line="300" w:lineRule="auto"/>
        <w:ind w:left="714"/>
        <w:jc w:val="both"/>
        <w:rPr>
          <w:rFonts w:ascii="Open Sans" w:eastAsia="Open Sans" w:hAnsi="Open Sans" w:cs="Open Sans"/>
          <w:i/>
          <w:sz w:val="24"/>
          <w:szCs w:val="24"/>
        </w:rPr>
      </w:pPr>
      <w:r>
        <w:rPr>
          <w:rFonts w:ascii="Open Sans" w:eastAsia="Open Sans" w:hAnsi="Open Sans" w:cs="Open Sans"/>
          <w:i/>
          <w:sz w:val="24"/>
          <w:szCs w:val="24"/>
        </w:rPr>
        <w:t>cfr.</w:t>
      </w:r>
      <w:r>
        <w:rPr>
          <w:rFonts w:ascii="Open Sans" w:eastAsia="Open Sans" w:hAnsi="Open Sans" w:cs="Open Sans"/>
          <w:sz w:val="24"/>
          <w:szCs w:val="24"/>
        </w:rPr>
        <w:t xml:space="preserve"> = compárese</w:t>
      </w:r>
    </w:p>
    <w:p w14:paraId="00000059" w14:textId="77777777" w:rsidR="007537F1" w:rsidRDefault="00BE2D2F">
      <w:pPr>
        <w:spacing w:line="300" w:lineRule="auto"/>
        <w:ind w:left="714"/>
        <w:jc w:val="both"/>
        <w:rPr>
          <w:rFonts w:ascii="Open Sans" w:eastAsia="Open Sans" w:hAnsi="Open Sans" w:cs="Open Sans"/>
          <w:i/>
          <w:sz w:val="24"/>
          <w:szCs w:val="24"/>
          <w:highlight w:val="white"/>
        </w:rPr>
      </w:pPr>
      <w:r>
        <w:rPr>
          <w:rFonts w:ascii="Open Sans" w:eastAsia="Open Sans" w:hAnsi="Open Sans" w:cs="Open Sans"/>
          <w:i/>
          <w:sz w:val="24"/>
          <w:szCs w:val="24"/>
          <w:highlight w:val="white"/>
        </w:rPr>
        <w:t>id.</w:t>
      </w:r>
      <w:r>
        <w:rPr>
          <w:rFonts w:ascii="Open Sans" w:eastAsia="Open Sans" w:hAnsi="Open Sans" w:cs="Open Sans"/>
          <w:sz w:val="24"/>
          <w:szCs w:val="24"/>
          <w:highlight w:val="white"/>
        </w:rPr>
        <w:t xml:space="preserve"> = </w:t>
      </w:r>
      <w:r>
        <w:rPr>
          <w:rFonts w:ascii="Open Sans" w:eastAsia="Open Sans" w:hAnsi="Open Sans" w:cs="Open Sans"/>
          <w:i/>
          <w:sz w:val="24"/>
          <w:szCs w:val="24"/>
          <w:highlight w:val="white"/>
        </w:rPr>
        <w:t>idem</w:t>
      </w:r>
    </w:p>
    <w:p w14:paraId="0000005A" w14:textId="77777777" w:rsidR="007537F1" w:rsidRDefault="00BE2D2F">
      <w:pPr>
        <w:spacing w:line="300" w:lineRule="auto"/>
        <w:ind w:left="714"/>
        <w:jc w:val="both"/>
        <w:rPr>
          <w:rFonts w:ascii="Open Sans" w:eastAsia="Open Sans" w:hAnsi="Open Sans" w:cs="Open Sans"/>
          <w:i/>
          <w:sz w:val="24"/>
          <w:szCs w:val="24"/>
          <w:highlight w:val="white"/>
        </w:rPr>
      </w:pPr>
      <w:r>
        <w:rPr>
          <w:rFonts w:ascii="Open Sans" w:eastAsia="Open Sans" w:hAnsi="Open Sans" w:cs="Open Sans"/>
          <w:i/>
          <w:sz w:val="24"/>
          <w:szCs w:val="24"/>
          <w:highlight w:val="white"/>
        </w:rPr>
        <w:t>ibid.</w:t>
      </w:r>
      <w:r>
        <w:rPr>
          <w:rFonts w:ascii="Open Sans" w:eastAsia="Open Sans" w:hAnsi="Open Sans" w:cs="Open Sans"/>
          <w:sz w:val="24"/>
          <w:szCs w:val="24"/>
          <w:highlight w:val="white"/>
        </w:rPr>
        <w:t xml:space="preserve"> = </w:t>
      </w:r>
      <w:r>
        <w:rPr>
          <w:rFonts w:ascii="Open Sans" w:eastAsia="Open Sans" w:hAnsi="Open Sans" w:cs="Open Sans"/>
          <w:i/>
          <w:sz w:val="24"/>
          <w:szCs w:val="24"/>
          <w:highlight w:val="white"/>
        </w:rPr>
        <w:t>ibidem</w:t>
      </w:r>
    </w:p>
    <w:p w14:paraId="0000005B" w14:textId="77777777" w:rsidR="007537F1" w:rsidRDefault="00BE2D2F">
      <w:pPr>
        <w:spacing w:line="300" w:lineRule="auto"/>
        <w:ind w:left="714"/>
        <w:jc w:val="both"/>
        <w:rPr>
          <w:rFonts w:ascii="Open Sans" w:eastAsia="Open Sans" w:hAnsi="Open Sans" w:cs="Open Sans"/>
          <w:i/>
          <w:sz w:val="24"/>
          <w:szCs w:val="24"/>
          <w:highlight w:val="white"/>
        </w:rPr>
      </w:pPr>
      <w:r>
        <w:rPr>
          <w:rFonts w:ascii="Open Sans" w:eastAsia="Open Sans" w:hAnsi="Open Sans" w:cs="Open Sans"/>
          <w:i/>
          <w:sz w:val="24"/>
          <w:szCs w:val="24"/>
          <w:highlight w:val="white"/>
        </w:rPr>
        <w:t>s. v. = sub voce</w:t>
      </w:r>
    </w:p>
    <w:p w14:paraId="0000005C" w14:textId="77777777" w:rsidR="007537F1" w:rsidRDefault="00BE2D2F">
      <w:pPr>
        <w:spacing w:line="300" w:lineRule="auto"/>
        <w:ind w:left="714"/>
        <w:jc w:val="both"/>
        <w:rPr>
          <w:rFonts w:ascii="Open Sans" w:eastAsia="Open Sans" w:hAnsi="Open Sans" w:cs="Open Sans"/>
          <w:i/>
          <w:sz w:val="24"/>
          <w:szCs w:val="24"/>
          <w:highlight w:val="white"/>
        </w:rPr>
      </w:pPr>
      <w:r>
        <w:rPr>
          <w:rFonts w:ascii="Open Sans" w:eastAsia="Open Sans" w:hAnsi="Open Sans" w:cs="Open Sans"/>
          <w:i/>
          <w:sz w:val="24"/>
          <w:szCs w:val="24"/>
          <w:highlight w:val="white"/>
        </w:rPr>
        <w:t>i. e. = id est</w:t>
      </w:r>
    </w:p>
    <w:p w14:paraId="0000005D" w14:textId="77777777" w:rsidR="007537F1" w:rsidRDefault="00BE2D2F">
      <w:pPr>
        <w:spacing w:line="300" w:lineRule="auto"/>
        <w:ind w:left="714"/>
        <w:jc w:val="both"/>
        <w:rPr>
          <w:rFonts w:ascii="Open Sans" w:eastAsia="Open Sans" w:hAnsi="Open Sans" w:cs="Open Sans"/>
          <w:i/>
          <w:sz w:val="24"/>
          <w:szCs w:val="24"/>
          <w:highlight w:val="white"/>
        </w:rPr>
      </w:pPr>
      <w:r>
        <w:rPr>
          <w:rFonts w:ascii="Open Sans" w:eastAsia="Open Sans" w:hAnsi="Open Sans" w:cs="Open Sans"/>
          <w:i/>
          <w:sz w:val="24"/>
          <w:szCs w:val="24"/>
          <w:highlight w:val="white"/>
        </w:rPr>
        <w:t>ca. = circa</w:t>
      </w:r>
    </w:p>
    <w:p w14:paraId="0000005E"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infra</w:t>
      </w:r>
      <w:r>
        <w:rPr>
          <w:rFonts w:ascii="Open Sans" w:eastAsia="Open Sans" w:hAnsi="Open Sans" w:cs="Open Sans"/>
          <w:sz w:val="24"/>
          <w:szCs w:val="24"/>
          <w:highlight w:val="white"/>
        </w:rPr>
        <w:t xml:space="preserve"> (remisión inferior)</w:t>
      </w:r>
    </w:p>
    <w:p w14:paraId="0000005F" w14:textId="77777777" w:rsidR="007537F1" w:rsidRDefault="00BE2D2F">
      <w:pPr>
        <w:spacing w:line="300" w:lineRule="auto"/>
        <w:ind w:left="714"/>
        <w:jc w:val="both"/>
        <w:rPr>
          <w:rFonts w:ascii="Open Sans" w:eastAsia="Open Sans" w:hAnsi="Open Sans" w:cs="Open Sans"/>
          <w:sz w:val="24"/>
          <w:szCs w:val="24"/>
          <w:highlight w:val="white"/>
        </w:rPr>
      </w:pPr>
      <w:r>
        <w:rPr>
          <w:rFonts w:ascii="Open Sans" w:eastAsia="Open Sans" w:hAnsi="Open Sans" w:cs="Open Sans"/>
          <w:i/>
          <w:sz w:val="24"/>
          <w:szCs w:val="24"/>
          <w:highlight w:val="white"/>
        </w:rPr>
        <w:t>supra</w:t>
      </w:r>
      <w:r>
        <w:rPr>
          <w:rFonts w:ascii="Open Sans" w:eastAsia="Open Sans" w:hAnsi="Open Sans" w:cs="Open Sans"/>
          <w:sz w:val="24"/>
          <w:szCs w:val="24"/>
          <w:highlight w:val="white"/>
        </w:rPr>
        <w:t xml:space="preserve"> (remisión superior)</w:t>
      </w:r>
    </w:p>
    <w:p w14:paraId="00000060" w14:textId="77777777" w:rsidR="007537F1" w:rsidRDefault="00BE2D2F">
      <w:pPr>
        <w:numPr>
          <w:ilvl w:val="0"/>
          <w:numId w:val="2"/>
        </w:numPr>
        <w:spacing w:line="300" w:lineRule="auto"/>
        <w:jc w:val="both"/>
        <w:rPr>
          <w:rFonts w:ascii="Open Sans" w:eastAsia="Open Sans" w:hAnsi="Open Sans" w:cs="Open Sans"/>
          <w:highlight w:val="white"/>
        </w:rPr>
      </w:pPr>
      <w:bookmarkStart w:id="3" w:name="_heading=h.30j0zll" w:colFirst="0" w:colLast="0"/>
      <w:bookmarkEnd w:id="3"/>
      <w:r>
        <w:rPr>
          <w:rFonts w:ascii="Open Sans" w:eastAsia="Open Sans" w:hAnsi="Open Sans" w:cs="Open Sans"/>
          <w:sz w:val="24"/>
          <w:szCs w:val="24"/>
          <w:highlight w:val="white"/>
        </w:rPr>
        <w:t>En</w:t>
      </w:r>
      <w:r>
        <w:rPr>
          <w:rFonts w:ascii="Open Sans" w:eastAsia="Open Sans" w:hAnsi="Open Sans" w:cs="Open Sans"/>
          <w:sz w:val="24"/>
          <w:szCs w:val="24"/>
        </w:rPr>
        <w:t xml:space="preserve"> </w:t>
      </w:r>
      <w:r>
        <w:rPr>
          <w:rFonts w:ascii="Open Sans" w:eastAsia="Open Sans" w:hAnsi="Open Sans" w:cs="Open Sans"/>
          <w:sz w:val="24"/>
          <w:szCs w:val="24"/>
          <w:highlight w:val="white"/>
        </w:rPr>
        <w:t>la</w:t>
      </w:r>
      <w:r>
        <w:rPr>
          <w:rFonts w:ascii="Open Sans" w:eastAsia="Open Sans" w:hAnsi="Open Sans" w:cs="Open Sans"/>
          <w:sz w:val="24"/>
          <w:szCs w:val="24"/>
        </w:rPr>
        <w:t xml:space="preserve"> </w:t>
      </w:r>
      <w:r>
        <w:rPr>
          <w:rFonts w:ascii="Open Sans" w:eastAsia="Open Sans" w:hAnsi="Open Sans" w:cs="Open Sans"/>
          <w:sz w:val="24"/>
          <w:szCs w:val="24"/>
          <w:highlight w:val="white"/>
        </w:rPr>
        <w:t>corrección</w:t>
      </w:r>
      <w:r>
        <w:rPr>
          <w:rFonts w:ascii="Open Sans" w:eastAsia="Open Sans" w:hAnsi="Open Sans" w:cs="Open Sans"/>
          <w:sz w:val="24"/>
          <w:szCs w:val="24"/>
        </w:rPr>
        <w:t xml:space="preserve"> de las pruebas no se admitirán variaciones significativas ni adiciones al texto. Solo se enviarán primeras pruebas y las correcciones se realizarán sobre PDF con la herramienta de Adobe: Resaltar texto &gt; (Doble click) &gt; Añadir comentario. Las segundas pru</w:t>
      </w:r>
      <w:r>
        <w:rPr>
          <w:rFonts w:ascii="Open Sans" w:eastAsia="Open Sans" w:hAnsi="Open Sans" w:cs="Open Sans"/>
          <w:sz w:val="24"/>
          <w:szCs w:val="24"/>
        </w:rPr>
        <w:t>ebas serán solamente revisadas por los editores.</w:t>
      </w:r>
    </w:p>
    <w:sectPr w:rsidR="007537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3773"/>
    <w:multiLevelType w:val="multilevel"/>
    <w:tmpl w:val="03BCAD30"/>
    <w:lvl w:ilvl="0">
      <w:start w:val="1"/>
      <w:numFmt w:val="decimal"/>
      <w:lvlText w:val="%1."/>
      <w:lvlJc w:val="left"/>
      <w:pPr>
        <w:ind w:left="502" w:hanging="360"/>
      </w:pPr>
      <w:rPr>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56302EF"/>
    <w:multiLevelType w:val="multilevel"/>
    <w:tmpl w:val="88D60828"/>
    <w:lvl w:ilvl="0">
      <w:start w:val="1"/>
      <w:numFmt w:val="bullet"/>
      <w:lvlText w:val="−"/>
      <w:lvlJc w:val="left"/>
      <w:pPr>
        <w:ind w:left="1434" w:hanging="360"/>
      </w:pPr>
      <w:rPr>
        <w:rFonts w:ascii="Noto Sans Symbols" w:eastAsia="Noto Sans Symbols" w:hAnsi="Noto Sans Symbols" w:cs="Noto Sans Symbols"/>
        <w:sz w:val="20"/>
        <w:szCs w:val="20"/>
      </w:rPr>
    </w:lvl>
    <w:lvl w:ilvl="1">
      <w:start w:val="1"/>
      <w:numFmt w:val="bullet"/>
      <w:lvlText w:val="−"/>
      <w:lvlJc w:val="left"/>
      <w:pPr>
        <w:ind w:left="2154" w:hanging="360"/>
      </w:pPr>
      <w:rPr>
        <w:rFonts w:ascii="Noto Sans Symbols" w:eastAsia="Noto Sans Symbols" w:hAnsi="Noto Sans Symbols" w:cs="Noto Sans Symbols"/>
        <w:sz w:val="20"/>
        <w:szCs w:val="20"/>
      </w:rPr>
    </w:lvl>
    <w:lvl w:ilvl="2">
      <w:start w:val="1"/>
      <w:numFmt w:val="bullet"/>
      <w:lvlText w:val="▪"/>
      <w:lvlJc w:val="left"/>
      <w:pPr>
        <w:ind w:left="2874" w:hanging="360"/>
      </w:pPr>
      <w:rPr>
        <w:rFonts w:ascii="Noto Sans Symbols" w:eastAsia="Noto Sans Symbols" w:hAnsi="Noto Sans Symbols" w:cs="Noto Sans Symbols"/>
        <w:sz w:val="20"/>
        <w:szCs w:val="20"/>
      </w:rPr>
    </w:lvl>
    <w:lvl w:ilvl="3">
      <w:start w:val="1"/>
      <w:numFmt w:val="bullet"/>
      <w:lvlText w:val="▪"/>
      <w:lvlJc w:val="left"/>
      <w:pPr>
        <w:ind w:left="3594" w:hanging="360"/>
      </w:pPr>
      <w:rPr>
        <w:rFonts w:ascii="Noto Sans Symbols" w:eastAsia="Noto Sans Symbols" w:hAnsi="Noto Sans Symbols" w:cs="Noto Sans Symbols"/>
        <w:sz w:val="20"/>
        <w:szCs w:val="20"/>
      </w:rPr>
    </w:lvl>
    <w:lvl w:ilvl="4">
      <w:start w:val="1"/>
      <w:numFmt w:val="bullet"/>
      <w:lvlText w:val="▪"/>
      <w:lvlJc w:val="left"/>
      <w:pPr>
        <w:ind w:left="4314" w:hanging="360"/>
      </w:pPr>
      <w:rPr>
        <w:rFonts w:ascii="Noto Sans Symbols" w:eastAsia="Noto Sans Symbols" w:hAnsi="Noto Sans Symbols" w:cs="Noto Sans Symbols"/>
        <w:sz w:val="20"/>
        <w:szCs w:val="20"/>
      </w:rPr>
    </w:lvl>
    <w:lvl w:ilvl="5">
      <w:start w:val="1"/>
      <w:numFmt w:val="bullet"/>
      <w:lvlText w:val="▪"/>
      <w:lvlJc w:val="left"/>
      <w:pPr>
        <w:ind w:left="5034" w:hanging="360"/>
      </w:pPr>
      <w:rPr>
        <w:rFonts w:ascii="Noto Sans Symbols" w:eastAsia="Noto Sans Symbols" w:hAnsi="Noto Sans Symbols" w:cs="Noto Sans Symbols"/>
        <w:sz w:val="20"/>
        <w:szCs w:val="20"/>
      </w:rPr>
    </w:lvl>
    <w:lvl w:ilvl="6">
      <w:start w:val="1"/>
      <w:numFmt w:val="bullet"/>
      <w:lvlText w:val="▪"/>
      <w:lvlJc w:val="left"/>
      <w:pPr>
        <w:ind w:left="5754" w:hanging="360"/>
      </w:pPr>
      <w:rPr>
        <w:rFonts w:ascii="Noto Sans Symbols" w:eastAsia="Noto Sans Symbols" w:hAnsi="Noto Sans Symbols" w:cs="Noto Sans Symbols"/>
        <w:sz w:val="20"/>
        <w:szCs w:val="20"/>
      </w:rPr>
    </w:lvl>
    <w:lvl w:ilvl="7">
      <w:start w:val="1"/>
      <w:numFmt w:val="bullet"/>
      <w:lvlText w:val="▪"/>
      <w:lvlJc w:val="left"/>
      <w:pPr>
        <w:ind w:left="6474" w:hanging="360"/>
      </w:pPr>
      <w:rPr>
        <w:rFonts w:ascii="Noto Sans Symbols" w:eastAsia="Noto Sans Symbols" w:hAnsi="Noto Sans Symbols" w:cs="Noto Sans Symbols"/>
        <w:sz w:val="20"/>
        <w:szCs w:val="20"/>
      </w:rPr>
    </w:lvl>
    <w:lvl w:ilvl="8">
      <w:start w:val="1"/>
      <w:numFmt w:val="bullet"/>
      <w:lvlText w:val="▪"/>
      <w:lvlJc w:val="left"/>
      <w:pPr>
        <w:ind w:left="7194"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F1"/>
    <w:rsid w:val="007537F1"/>
    <w:rsid w:val="00BE2D2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B433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x.doi.org/10.3989/rfe.2006.v86.i1.7" TargetMode="External"/><Relationship Id="rId7" Type="http://schemas.openxmlformats.org/officeDocument/2006/relationships/hyperlink" Target="https://revistas.webs.uvigo.es/" TargetMode="External"/><Relationship Id="rId8" Type="http://schemas.openxmlformats.org/officeDocument/2006/relationships/hyperlink" Target="https://bancroft.berkeley.edu/philobiblon/bitagap_ga.html" TargetMode="External"/><Relationship Id="rId9" Type="http://schemas.openxmlformats.org/officeDocument/2006/relationships/hyperlink" Target="http://glossa.ga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2X1nxVSp/fptihztIrXQTwT6A==">AMUW2mXSl1EjhQhCP56WSirMXhyBw4TLrtHu3l+oE37n1Okx6GLCv1MF8CLOkvMfzjoHZPf4hMg89Sx5LcVm6bY0ha+ZDgwCG6MtZsHii28zJU0CjUXP/jyaGEeeAQUCc2WAXlDQQOzyKOoLocZXuR2jGj8SXHKogA==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10743</Characters>
  <Application>Microsoft Macintosh Word</Application>
  <DocSecurity>0</DocSecurity>
  <Lines>89</Lines>
  <Paragraphs>25</Paragraphs>
  <ScaleCrop>false</ScaleCrop>
  <LinksUpToDate>false</LinksUpToDate>
  <CharactersWithSpaces>12671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Evaluador</cp:lastModifiedBy>
  <cp:revision>2</cp:revision>
  <dcterms:created xsi:type="dcterms:W3CDTF">2021-11-30T12:54:00Z</dcterms:created>
  <dcterms:modified xsi:type="dcterms:W3CDTF">2022-11-02T20:04:00Z</dcterms:modified>
</cp:coreProperties>
</file>